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D09B8" w:rsidRPr="00AE235D" w:rsidRDefault="002D09B8" w:rsidP="00AE235D">
      <w:pPr>
        <w:jc w:val="center"/>
        <w:rPr>
          <w:b/>
          <w:color w:val="17365D" w:themeColor="text2" w:themeShade="BF"/>
          <w:sz w:val="32"/>
          <w:szCs w:val="32"/>
        </w:rPr>
      </w:pPr>
      <w:r w:rsidRPr="00AE235D">
        <w:rPr>
          <w:rFonts w:hint="eastAsia"/>
          <w:b/>
          <w:color w:val="17365D" w:themeColor="text2" w:themeShade="BF"/>
          <w:sz w:val="32"/>
          <w:szCs w:val="32"/>
        </w:rPr>
        <w:t>한국통계학회 생물통계연구회</w:t>
      </w:r>
      <w:r w:rsidR="00AE235D" w:rsidRPr="00AE235D">
        <w:rPr>
          <w:rFonts w:hint="eastAsia"/>
          <w:b/>
          <w:color w:val="17365D" w:themeColor="text2" w:themeShade="BF"/>
          <w:sz w:val="32"/>
          <w:szCs w:val="32"/>
        </w:rPr>
        <w:t xml:space="preserve"> </w:t>
      </w:r>
      <w:r w:rsidRPr="00AE235D">
        <w:rPr>
          <w:rFonts w:hint="eastAsia"/>
          <w:b/>
          <w:color w:val="17365D" w:themeColor="text2" w:themeShade="BF"/>
          <w:sz w:val="32"/>
          <w:szCs w:val="32"/>
        </w:rPr>
        <w:t>2015년 추계 정기세미나</w:t>
      </w:r>
    </w:p>
    <w:p w:rsidR="00AE235D" w:rsidRDefault="00AE235D" w:rsidP="00AE235D">
      <w:pPr>
        <w:jc w:val="center"/>
      </w:pPr>
    </w:p>
    <w:p w:rsidR="002D09B8" w:rsidRPr="00AE235D" w:rsidRDefault="002D09B8" w:rsidP="00AE235D">
      <w:pPr>
        <w:jc w:val="center"/>
        <w:rPr>
          <w:b/>
          <w:sz w:val="22"/>
        </w:rPr>
      </w:pPr>
      <w:r w:rsidRPr="00AE235D">
        <w:rPr>
          <w:rFonts w:hint="eastAsia"/>
          <w:b/>
          <w:sz w:val="22"/>
        </w:rPr>
        <w:t xml:space="preserve">일시: 2015년 11월 24일 (화) 오후 </w:t>
      </w:r>
      <w:r w:rsidR="00CC4DC7" w:rsidRPr="00AE235D">
        <w:rPr>
          <w:rFonts w:hint="eastAsia"/>
          <w:b/>
          <w:sz w:val="22"/>
        </w:rPr>
        <w:t xml:space="preserve">1시 30분 </w:t>
      </w:r>
      <w:r w:rsidR="00CC4DC7" w:rsidRPr="00AE235D">
        <w:rPr>
          <w:b/>
          <w:sz w:val="22"/>
        </w:rPr>
        <w:t>–</w:t>
      </w:r>
      <w:r w:rsidR="00CC4DC7" w:rsidRPr="00AE235D">
        <w:rPr>
          <w:rFonts w:hint="eastAsia"/>
          <w:b/>
          <w:sz w:val="22"/>
        </w:rPr>
        <w:t xml:space="preserve"> </w:t>
      </w:r>
      <w:r w:rsidR="00AE235D" w:rsidRPr="00AE235D">
        <w:rPr>
          <w:rFonts w:hint="eastAsia"/>
          <w:b/>
          <w:sz w:val="22"/>
        </w:rPr>
        <w:t>6</w:t>
      </w:r>
      <w:r w:rsidR="00CC4DC7" w:rsidRPr="00AE235D">
        <w:rPr>
          <w:rFonts w:hint="eastAsia"/>
          <w:b/>
          <w:sz w:val="22"/>
        </w:rPr>
        <w:t xml:space="preserve">시 </w:t>
      </w:r>
      <w:r w:rsidR="00AE235D" w:rsidRPr="00AE235D">
        <w:rPr>
          <w:rFonts w:hint="eastAsia"/>
          <w:b/>
          <w:sz w:val="22"/>
        </w:rPr>
        <w:t>15</w:t>
      </w:r>
      <w:r w:rsidR="00CC4DC7" w:rsidRPr="00AE235D">
        <w:rPr>
          <w:rFonts w:hint="eastAsia"/>
          <w:b/>
          <w:sz w:val="22"/>
        </w:rPr>
        <w:t>분</w:t>
      </w:r>
    </w:p>
    <w:p w:rsidR="00CC4DC7" w:rsidRPr="00AE235D" w:rsidRDefault="00CC4DC7" w:rsidP="00AE235D">
      <w:pPr>
        <w:jc w:val="center"/>
        <w:rPr>
          <w:b/>
          <w:sz w:val="22"/>
        </w:rPr>
      </w:pPr>
      <w:r w:rsidRPr="00AE235D">
        <w:rPr>
          <w:rFonts w:hint="eastAsia"/>
          <w:b/>
          <w:sz w:val="22"/>
        </w:rPr>
        <w:t>장소: 서울대학교 의과대학 교육관 117호 (연건동)</w:t>
      </w:r>
    </w:p>
    <w:p w:rsidR="00CC4DC7" w:rsidRPr="00C72FB5" w:rsidRDefault="00C72FB5" w:rsidP="00AE235D">
      <w:pPr>
        <w:jc w:val="center"/>
        <w:rPr>
          <w:b/>
          <w:sz w:val="22"/>
        </w:rPr>
      </w:pPr>
      <w:r w:rsidRPr="00C72FB5">
        <w:rPr>
          <w:rFonts w:hint="eastAsia"/>
          <w:b/>
          <w:sz w:val="22"/>
        </w:rPr>
        <w:t>후원: 이화여자대학교 통계학과 BK21 P</w:t>
      </w:r>
      <w:r w:rsidR="00D862A7">
        <w:rPr>
          <w:rFonts w:hint="eastAsia"/>
          <w:b/>
          <w:sz w:val="22"/>
        </w:rPr>
        <w:t>lus</w:t>
      </w:r>
      <w:bookmarkStart w:id="0" w:name="_GoBack"/>
      <w:bookmarkEnd w:id="0"/>
      <w:r w:rsidRPr="00C72FB5">
        <w:rPr>
          <w:rFonts w:hint="eastAsia"/>
          <w:b/>
          <w:sz w:val="22"/>
        </w:rPr>
        <w:t xml:space="preserve"> 사업팀</w:t>
      </w:r>
    </w:p>
    <w:tbl>
      <w:tblPr>
        <w:tblW w:w="9214" w:type="dxa"/>
        <w:tblCellMar>
          <w:left w:w="0" w:type="dxa"/>
          <w:right w:w="0" w:type="dxa"/>
        </w:tblCellMar>
        <w:tblLook w:val="0420" w:firstRow="1" w:lastRow="0" w:firstColumn="0" w:lastColumn="0" w:noHBand="0" w:noVBand="1"/>
      </w:tblPr>
      <w:tblGrid>
        <w:gridCol w:w="1403"/>
        <w:gridCol w:w="5212"/>
        <w:gridCol w:w="2599"/>
      </w:tblGrid>
      <w:tr w:rsidR="00AE235D" w:rsidRPr="00AE235D" w:rsidTr="00332E51">
        <w:trPr>
          <w:trHeight w:val="578"/>
        </w:trPr>
        <w:tc>
          <w:tcPr>
            <w:tcW w:w="1403" w:type="dxa"/>
            <w:tcBorders>
              <w:top w:val="single" w:sz="8" w:space="0" w:color="FFFFFF"/>
              <w:left w:val="single" w:sz="8" w:space="0" w:color="FFFFFF"/>
              <w:bottom w:val="single" w:sz="24" w:space="0" w:color="FFFFFF"/>
              <w:right w:val="single" w:sz="8" w:space="0" w:color="FFFFFF"/>
            </w:tcBorders>
            <w:shd w:val="clear" w:color="auto" w:fill="4F81BD"/>
            <w:tcMar>
              <w:top w:w="15" w:type="dxa"/>
              <w:left w:w="108" w:type="dxa"/>
              <w:bottom w:w="0" w:type="dxa"/>
              <w:right w:w="108" w:type="dxa"/>
            </w:tcMar>
            <w:hideMark/>
          </w:tcPr>
          <w:p w:rsidR="00F311FC" w:rsidRPr="00AE235D" w:rsidRDefault="00AE235D" w:rsidP="00AE235D">
            <w:r w:rsidRPr="00AE235D">
              <w:rPr>
                <w:rFonts w:hint="eastAsia"/>
                <w:b/>
                <w:bCs/>
              </w:rPr>
              <w:t>Time</w:t>
            </w:r>
          </w:p>
        </w:tc>
        <w:tc>
          <w:tcPr>
            <w:tcW w:w="5212" w:type="dxa"/>
            <w:tcBorders>
              <w:top w:val="single" w:sz="8" w:space="0" w:color="FFFFFF"/>
              <w:left w:val="single" w:sz="8" w:space="0" w:color="FFFFFF"/>
              <w:bottom w:val="single" w:sz="24" w:space="0" w:color="FFFFFF"/>
              <w:right w:val="single" w:sz="8" w:space="0" w:color="FFFFFF"/>
            </w:tcBorders>
            <w:shd w:val="clear" w:color="auto" w:fill="4F81BD"/>
            <w:tcMar>
              <w:top w:w="15" w:type="dxa"/>
              <w:left w:w="108" w:type="dxa"/>
              <w:bottom w:w="0" w:type="dxa"/>
              <w:right w:w="108" w:type="dxa"/>
            </w:tcMar>
            <w:hideMark/>
          </w:tcPr>
          <w:p w:rsidR="00F311FC" w:rsidRPr="00AE235D" w:rsidRDefault="00AE235D" w:rsidP="00AE235D">
            <w:r w:rsidRPr="00AE235D">
              <w:rPr>
                <w:rFonts w:hint="eastAsia"/>
                <w:b/>
                <w:bCs/>
              </w:rPr>
              <w:t>Title</w:t>
            </w:r>
          </w:p>
        </w:tc>
        <w:tc>
          <w:tcPr>
            <w:tcW w:w="2599" w:type="dxa"/>
            <w:tcBorders>
              <w:top w:val="single" w:sz="8" w:space="0" w:color="FFFFFF"/>
              <w:left w:val="single" w:sz="8" w:space="0" w:color="FFFFFF"/>
              <w:bottom w:val="single" w:sz="24" w:space="0" w:color="FFFFFF"/>
              <w:right w:val="single" w:sz="8" w:space="0" w:color="FFFFFF"/>
            </w:tcBorders>
            <w:shd w:val="clear" w:color="auto" w:fill="4F81BD"/>
            <w:tcMar>
              <w:top w:w="15" w:type="dxa"/>
              <w:left w:w="108" w:type="dxa"/>
              <w:bottom w:w="0" w:type="dxa"/>
              <w:right w:w="108" w:type="dxa"/>
            </w:tcMar>
            <w:hideMark/>
          </w:tcPr>
          <w:p w:rsidR="00F311FC" w:rsidRPr="00AE235D" w:rsidRDefault="00AE235D" w:rsidP="00AE235D">
            <w:r w:rsidRPr="00AE235D">
              <w:rPr>
                <w:rFonts w:hint="eastAsia"/>
                <w:b/>
                <w:bCs/>
              </w:rPr>
              <w:t>Speaker</w:t>
            </w:r>
          </w:p>
        </w:tc>
      </w:tr>
      <w:tr w:rsidR="00AE235D" w:rsidRPr="00AE235D" w:rsidTr="00332E51">
        <w:trPr>
          <w:trHeight w:val="578"/>
        </w:trPr>
        <w:tc>
          <w:tcPr>
            <w:tcW w:w="1403" w:type="dxa"/>
            <w:tcBorders>
              <w:top w:val="single" w:sz="24" w:space="0" w:color="FFFFFF"/>
              <w:left w:val="single" w:sz="8" w:space="0" w:color="FFFFFF"/>
              <w:bottom w:val="single" w:sz="8" w:space="0" w:color="FFFFFF"/>
              <w:right w:val="single" w:sz="8" w:space="0" w:color="FFFFFF"/>
            </w:tcBorders>
            <w:shd w:val="clear" w:color="auto" w:fill="D0D8E8"/>
            <w:tcMar>
              <w:top w:w="15" w:type="dxa"/>
              <w:left w:w="108" w:type="dxa"/>
              <w:bottom w:w="0" w:type="dxa"/>
              <w:right w:w="108" w:type="dxa"/>
            </w:tcMar>
            <w:hideMark/>
          </w:tcPr>
          <w:p w:rsidR="00F311FC" w:rsidRPr="00AE235D" w:rsidRDefault="00AE235D" w:rsidP="00AE235D">
            <w:pPr>
              <w:rPr>
                <w:szCs w:val="20"/>
              </w:rPr>
            </w:pPr>
            <w:r w:rsidRPr="00AE235D">
              <w:rPr>
                <w:rFonts w:hint="eastAsia"/>
                <w:b/>
                <w:bCs/>
                <w:szCs w:val="20"/>
              </w:rPr>
              <w:t>13:15-13:30</w:t>
            </w:r>
          </w:p>
        </w:tc>
        <w:tc>
          <w:tcPr>
            <w:tcW w:w="5212" w:type="dxa"/>
            <w:tcBorders>
              <w:top w:val="single" w:sz="24" w:space="0" w:color="FFFFFF"/>
              <w:left w:val="single" w:sz="8" w:space="0" w:color="FFFFFF"/>
              <w:bottom w:val="single" w:sz="8" w:space="0" w:color="FFFFFF"/>
              <w:right w:val="single" w:sz="8" w:space="0" w:color="FFFFFF"/>
            </w:tcBorders>
            <w:shd w:val="clear" w:color="auto" w:fill="D0D8E8"/>
            <w:tcMar>
              <w:top w:w="15" w:type="dxa"/>
              <w:left w:w="108" w:type="dxa"/>
              <w:bottom w:w="0" w:type="dxa"/>
              <w:right w:w="108" w:type="dxa"/>
            </w:tcMar>
            <w:hideMark/>
          </w:tcPr>
          <w:p w:rsidR="00F311FC" w:rsidRPr="00AE235D" w:rsidRDefault="00AE235D" w:rsidP="00AE235D">
            <w:pPr>
              <w:rPr>
                <w:szCs w:val="20"/>
              </w:rPr>
            </w:pPr>
            <w:r w:rsidRPr="00AE235D">
              <w:rPr>
                <w:rFonts w:hint="eastAsia"/>
                <w:b/>
                <w:bCs/>
                <w:szCs w:val="20"/>
              </w:rPr>
              <w:t>등록 및 tea time</w:t>
            </w:r>
          </w:p>
        </w:tc>
        <w:tc>
          <w:tcPr>
            <w:tcW w:w="2599" w:type="dxa"/>
            <w:tcBorders>
              <w:top w:val="single" w:sz="24" w:space="0" w:color="FFFFFF"/>
              <w:left w:val="single" w:sz="8" w:space="0" w:color="FFFFFF"/>
              <w:bottom w:val="single" w:sz="8" w:space="0" w:color="FFFFFF"/>
              <w:right w:val="single" w:sz="8" w:space="0" w:color="FFFFFF"/>
            </w:tcBorders>
            <w:shd w:val="clear" w:color="auto" w:fill="D0D8E8"/>
            <w:tcMar>
              <w:top w:w="15" w:type="dxa"/>
              <w:left w:w="108" w:type="dxa"/>
              <w:bottom w:w="0" w:type="dxa"/>
              <w:right w:w="108" w:type="dxa"/>
            </w:tcMar>
            <w:hideMark/>
          </w:tcPr>
          <w:p w:rsidR="00F311FC" w:rsidRPr="00AE235D" w:rsidRDefault="00AE235D" w:rsidP="00AE235D">
            <w:pPr>
              <w:rPr>
                <w:szCs w:val="20"/>
              </w:rPr>
            </w:pPr>
            <w:r w:rsidRPr="00AE235D">
              <w:rPr>
                <w:rFonts w:hint="eastAsia"/>
                <w:b/>
                <w:bCs/>
                <w:szCs w:val="20"/>
              </w:rPr>
              <w:t> </w:t>
            </w:r>
          </w:p>
        </w:tc>
      </w:tr>
      <w:tr w:rsidR="00AE235D" w:rsidRPr="00AE235D" w:rsidTr="00332E51">
        <w:trPr>
          <w:trHeight w:val="593"/>
        </w:trPr>
        <w:tc>
          <w:tcPr>
            <w:tcW w:w="1403" w:type="dxa"/>
            <w:tcBorders>
              <w:top w:val="single" w:sz="8" w:space="0" w:color="FFFFFF"/>
              <w:left w:val="single" w:sz="8" w:space="0" w:color="FFFFFF"/>
              <w:bottom w:val="single" w:sz="8" w:space="0" w:color="FFFFFF"/>
              <w:right w:val="single" w:sz="8" w:space="0" w:color="FFFFFF"/>
            </w:tcBorders>
            <w:shd w:val="clear" w:color="auto" w:fill="E9EDF4"/>
            <w:tcMar>
              <w:top w:w="15" w:type="dxa"/>
              <w:left w:w="108" w:type="dxa"/>
              <w:bottom w:w="0" w:type="dxa"/>
              <w:right w:w="108" w:type="dxa"/>
            </w:tcMar>
            <w:hideMark/>
          </w:tcPr>
          <w:p w:rsidR="00F311FC" w:rsidRPr="00AE235D" w:rsidRDefault="00AE235D" w:rsidP="00AE235D">
            <w:pPr>
              <w:rPr>
                <w:szCs w:val="20"/>
              </w:rPr>
            </w:pPr>
            <w:r w:rsidRPr="00AE235D">
              <w:rPr>
                <w:rFonts w:hint="eastAsia"/>
                <w:b/>
                <w:bCs/>
                <w:szCs w:val="20"/>
              </w:rPr>
              <w:t>13:30-14:15</w:t>
            </w:r>
          </w:p>
        </w:tc>
        <w:tc>
          <w:tcPr>
            <w:tcW w:w="5212" w:type="dxa"/>
            <w:tcBorders>
              <w:top w:val="single" w:sz="8" w:space="0" w:color="FFFFFF"/>
              <w:left w:val="single" w:sz="8" w:space="0" w:color="FFFFFF"/>
              <w:bottom w:val="single" w:sz="8" w:space="0" w:color="FFFFFF"/>
              <w:right w:val="single" w:sz="8" w:space="0" w:color="FFFFFF"/>
            </w:tcBorders>
            <w:shd w:val="clear" w:color="auto" w:fill="E9EDF4"/>
            <w:tcMar>
              <w:top w:w="15" w:type="dxa"/>
              <w:left w:w="108" w:type="dxa"/>
              <w:bottom w:w="0" w:type="dxa"/>
              <w:right w:w="108" w:type="dxa"/>
            </w:tcMar>
            <w:hideMark/>
          </w:tcPr>
          <w:p w:rsidR="00AE235D" w:rsidRPr="00AE235D" w:rsidRDefault="00AE235D" w:rsidP="00AE235D">
            <w:pPr>
              <w:rPr>
                <w:szCs w:val="20"/>
              </w:rPr>
            </w:pPr>
            <w:r w:rsidRPr="00AE235D">
              <w:rPr>
                <w:rFonts w:hint="eastAsia"/>
                <w:b/>
                <w:bCs/>
                <w:szCs w:val="20"/>
              </w:rPr>
              <w:t>정밀의학을 위한 체외진단다지표검사 (IVDMIA)</w:t>
            </w:r>
          </w:p>
          <w:p w:rsidR="00F311FC" w:rsidRPr="00AE235D" w:rsidRDefault="00AE235D" w:rsidP="00AE235D">
            <w:pPr>
              <w:rPr>
                <w:szCs w:val="20"/>
              </w:rPr>
            </w:pPr>
            <w:r w:rsidRPr="00AE235D">
              <w:rPr>
                <w:rFonts w:hint="eastAsia"/>
                <w:b/>
                <w:bCs/>
                <w:szCs w:val="20"/>
              </w:rPr>
              <w:t>의료기기 평가</w:t>
            </w:r>
          </w:p>
        </w:tc>
        <w:tc>
          <w:tcPr>
            <w:tcW w:w="2599" w:type="dxa"/>
            <w:tcBorders>
              <w:top w:val="single" w:sz="8" w:space="0" w:color="FFFFFF"/>
              <w:left w:val="single" w:sz="8" w:space="0" w:color="FFFFFF"/>
              <w:bottom w:val="single" w:sz="8" w:space="0" w:color="FFFFFF"/>
              <w:right w:val="single" w:sz="8" w:space="0" w:color="FFFFFF"/>
            </w:tcBorders>
            <w:shd w:val="clear" w:color="auto" w:fill="E9EDF4"/>
            <w:tcMar>
              <w:top w:w="15" w:type="dxa"/>
              <w:left w:w="108" w:type="dxa"/>
              <w:bottom w:w="0" w:type="dxa"/>
              <w:right w:w="108" w:type="dxa"/>
            </w:tcMar>
            <w:hideMark/>
          </w:tcPr>
          <w:p w:rsidR="00AE235D" w:rsidRPr="00AE235D" w:rsidRDefault="00AE235D" w:rsidP="00AE235D">
            <w:pPr>
              <w:rPr>
                <w:szCs w:val="20"/>
              </w:rPr>
            </w:pPr>
            <w:r w:rsidRPr="00AE235D">
              <w:rPr>
                <w:rFonts w:hint="eastAsia"/>
                <w:b/>
                <w:bCs/>
                <w:szCs w:val="20"/>
              </w:rPr>
              <w:t xml:space="preserve">Byung-Ho Nam, Ph.D </w:t>
            </w:r>
          </w:p>
          <w:p w:rsidR="00F311FC" w:rsidRPr="00AE235D" w:rsidRDefault="00AE235D" w:rsidP="00AE235D">
            <w:pPr>
              <w:rPr>
                <w:szCs w:val="20"/>
              </w:rPr>
            </w:pPr>
            <w:r w:rsidRPr="00AE235D">
              <w:rPr>
                <w:rFonts w:hint="eastAsia"/>
                <w:b/>
                <w:bCs/>
                <w:szCs w:val="20"/>
              </w:rPr>
              <w:t>NCC</w:t>
            </w:r>
          </w:p>
        </w:tc>
      </w:tr>
      <w:tr w:rsidR="00AE235D" w:rsidRPr="00AE235D" w:rsidTr="00332E51">
        <w:trPr>
          <w:trHeight w:val="593"/>
        </w:trPr>
        <w:tc>
          <w:tcPr>
            <w:tcW w:w="1403" w:type="dxa"/>
            <w:tcBorders>
              <w:top w:val="single" w:sz="8" w:space="0" w:color="FFFFFF"/>
              <w:left w:val="single" w:sz="8" w:space="0" w:color="FFFFFF"/>
              <w:bottom w:val="single" w:sz="8" w:space="0" w:color="FFFFFF"/>
              <w:right w:val="single" w:sz="8" w:space="0" w:color="FFFFFF"/>
            </w:tcBorders>
            <w:shd w:val="clear" w:color="auto" w:fill="D0D8E8"/>
            <w:tcMar>
              <w:top w:w="15" w:type="dxa"/>
              <w:left w:w="108" w:type="dxa"/>
              <w:bottom w:w="0" w:type="dxa"/>
              <w:right w:w="108" w:type="dxa"/>
            </w:tcMar>
            <w:hideMark/>
          </w:tcPr>
          <w:p w:rsidR="00F311FC" w:rsidRPr="00AE235D" w:rsidRDefault="00AE235D" w:rsidP="00AE235D">
            <w:pPr>
              <w:rPr>
                <w:szCs w:val="20"/>
              </w:rPr>
            </w:pPr>
            <w:r w:rsidRPr="00AE235D">
              <w:rPr>
                <w:rFonts w:hint="eastAsia"/>
                <w:b/>
                <w:bCs/>
                <w:szCs w:val="20"/>
              </w:rPr>
              <w:t>14:15-15:00</w:t>
            </w:r>
          </w:p>
        </w:tc>
        <w:tc>
          <w:tcPr>
            <w:tcW w:w="5212" w:type="dxa"/>
            <w:tcBorders>
              <w:top w:val="single" w:sz="8" w:space="0" w:color="FFFFFF"/>
              <w:left w:val="single" w:sz="8" w:space="0" w:color="FFFFFF"/>
              <w:bottom w:val="single" w:sz="8" w:space="0" w:color="FFFFFF"/>
              <w:right w:val="single" w:sz="8" w:space="0" w:color="FFFFFF"/>
            </w:tcBorders>
            <w:shd w:val="clear" w:color="auto" w:fill="D0D8E8"/>
            <w:tcMar>
              <w:top w:w="15" w:type="dxa"/>
              <w:left w:w="108" w:type="dxa"/>
              <w:bottom w:w="0" w:type="dxa"/>
              <w:right w:w="108" w:type="dxa"/>
            </w:tcMar>
            <w:hideMark/>
          </w:tcPr>
          <w:p w:rsidR="00AE235D" w:rsidRPr="00AE235D" w:rsidRDefault="00AE235D" w:rsidP="00AE235D">
            <w:pPr>
              <w:rPr>
                <w:szCs w:val="20"/>
              </w:rPr>
            </w:pPr>
            <w:r w:rsidRPr="00AE235D">
              <w:rPr>
                <w:rFonts w:hint="eastAsia"/>
                <w:b/>
                <w:bCs/>
                <w:szCs w:val="20"/>
              </w:rPr>
              <w:t xml:space="preserve">바이오의약품 및 생약제제의 허가 심사시 통계학적 </w:t>
            </w:r>
          </w:p>
          <w:p w:rsidR="00F311FC" w:rsidRPr="00AE235D" w:rsidRDefault="00AE235D" w:rsidP="00AE235D">
            <w:pPr>
              <w:rPr>
                <w:szCs w:val="20"/>
              </w:rPr>
            </w:pPr>
            <w:r w:rsidRPr="00AE235D">
              <w:rPr>
                <w:rFonts w:hint="eastAsia"/>
                <w:b/>
                <w:bCs/>
                <w:szCs w:val="20"/>
              </w:rPr>
              <w:t>고려사항</w:t>
            </w:r>
          </w:p>
        </w:tc>
        <w:tc>
          <w:tcPr>
            <w:tcW w:w="2599" w:type="dxa"/>
            <w:tcBorders>
              <w:top w:val="single" w:sz="8" w:space="0" w:color="FFFFFF"/>
              <w:left w:val="single" w:sz="8" w:space="0" w:color="FFFFFF"/>
              <w:bottom w:val="single" w:sz="8" w:space="0" w:color="FFFFFF"/>
              <w:right w:val="single" w:sz="8" w:space="0" w:color="FFFFFF"/>
            </w:tcBorders>
            <w:shd w:val="clear" w:color="auto" w:fill="D0D8E8"/>
            <w:tcMar>
              <w:top w:w="15" w:type="dxa"/>
              <w:left w:w="108" w:type="dxa"/>
              <w:bottom w:w="0" w:type="dxa"/>
              <w:right w:w="108" w:type="dxa"/>
            </w:tcMar>
            <w:hideMark/>
          </w:tcPr>
          <w:p w:rsidR="00AE235D" w:rsidRPr="00AE235D" w:rsidRDefault="00AE235D" w:rsidP="00AE235D">
            <w:pPr>
              <w:rPr>
                <w:szCs w:val="20"/>
              </w:rPr>
            </w:pPr>
            <w:r w:rsidRPr="00AE235D">
              <w:rPr>
                <w:rFonts w:hint="eastAsia"/>
                <w:b/>
                <w:bCs/>
                <w:szCs w:val="20"/>
              </w:rPr>
              <w:t xml:space="preserve">Jusun Nam, Ph.D </w:t>
            </w:r>
          </w:p>
          <w:p w:rsidR="00F311FC" w:rsidRPr="00AE235D" w:rsidRDefault="00AE235D" w:rsidP="00AE235D">
            <w:pPr>
              <w:rPr>
                <w:szCs w:val="20"/>
              </w:rPr>
            </w:pPr>
            <w:r w:rsidRPr="00AE235D">
              <w:rPr>
                <w:rFonts w:hint="eastAsia"/>
                <w:b/>
                <w:bCs/>
                <w:szCs w:val="20"/>
              </w:rPr>
              <w:t>FDS</w:t>
            </w:r>
          </w:p>
        </w:tc>
      </w:tr>
      <w:tr w:rsidR="00AE235D" w:rsidRPr="00AE235D" w:rsidTr="00332E51">
        <w:trPr>
          <w:trHeight w:val="578"/>
        </w:trPr>
        <w:tc>
          <w:tcPr>
            <w:tcW w:w="1403" w:type="dxa"/>
            <w:tcBorders>
              <w:top w:val="single" w:sz="8" w:space="0" w:color="FFFFFF"/>
              <w:left w:val="single" w:sz="8" w:space="0" w:color="FFFFFF"/>
              <w:bottom w:val="single" w:sz="8" w:space="0" w:color="FFFFFF"/>
              <w:right w:val="single" w:sz="8" w:space="0" w:color="FFFFFF"/>
            </w:tcBorders>
            <w:shd w:val="clear" w:color="auto" w:fill="E9EDF4"/>
            <w:tcMar>
              <w:top w:w="15" w:type="dxa"/>
              <w:left w:w="108" w:type="dxa"/>
              <w:bottom w:w="0" w:type="dxa"/>
              <w:right w:w="108" w:type="dxa"/>
            </w:tcMar>
            <w:hideMark/>
          </w:tcPr>
          <w:p w:rsidR="00F311FC" w:rsidRPr="00AE235D" w:rsidRDefault="00AE235D" w:rsidP="00AE235D">
            <w:pPr>
              <w:rPr>
                <w:szCs w:val="20"/>
              </w:rPr>
            </w:pPr>
            <w:r w:rsidRPr="00AE235D">
              <w:rPr>
                <w:rFonts w:hint="eastAsia"/>
                <w:b/>
                <w:bCs/>
                <w:szCs w:val="20"/>
              </w:rPr>
              <w:t>15:00-15:15</w:t>
            </w:r>
          </w:p>
        </w:tc>
        <w:tc>
          <w:tcPr>
            <w:tcW w:w="5212" w:type="dxa"/>
            <w:tcBorders>
              <w:top w:val="single" w:sz="8" w:space="0" w:color="FFFFFF"/>
              <w:left w:val="single" w:sz="8" w:space="0" w:color="FFFFFF"/>
              <w:bottom w:val="single" w:sz="8" w:space="0" w:color="FFFFFF"/>
              <w:right w:val="single" w:sz="8" w:space="0" w:color="FFFFFF"/>
            </w:tcBorders>
            <w:shd w:val="clear" w:color="auto" w:fill="E9EDF4"/>
            <w:tcMar>
              <w:top w:w="15" w:type="dxa"/>
              <w:left w:w="108" w:type="dxa"/>
              <w:bottom w:w="0" w:type="dxa"/>
              <w:right w:w="108" w:type="dxa"/>
            </w:tcMar>
            <w:hideMark/>
          </w:tcPr>
          <w:p w:rsidR="00F311FC" w:rsidRPr="00AE235D" w:rsidRDefault="00AE235D" w:rsidP="00AE235D">
            <w:pPr>
              <w:rPr>
                <w:szCs w:val="20"/>
              </w:rPr>
            </w:pPr>
            <w:r w:rsidRPr="00AE235D">
              <w:rPr>
                <w:rFonts w:hint="eastAsia"/>
                <w:b/>
                <w:bCs/>
                <w:szCs w:val="20"/>
              </w:rPr>
              <w:t>Tea Time</w:t>
            </w:r>
          </w:p>
        </w:tc>
        <w:tc>
          <w:tcPr>
            <w:tcW w:w="2599" w:type="dxa"/>
            <w:tcBorders>
              <w:top w:val="single" w:sz="8" w:space="0" w:color="FFFFFF"/>
              <w:left w:val="single" w:sz="8" w:space="0" w:color="FFFFFF"/>
              <w:bottom w:val="single" w:sz="8" w:space="0" w:color="FFFFFF"/>
              <w:right w:val="single" w:sz="8" w:space="0" w:color="FFFFFF"/>
            </w:tcBorders>
            <w:shd w:val="clear" w:color="auto" w:fill="E9EDF4"/>
            <w:tcMar>
              <w:top w:w="15" w:type="dxa"/>
              <w:left w:w="108" w:type="dxa"/>
              <w:bottom w:w="0" w:type="dxa"/>
              <w:right w:w="108" w:type="dxa"/>
            </w:tcMar>
            <w:hideMark/>
          </w:tcPr>
          <w:p w:rsidR="00F311FC" w:rsidRPr="00AE235D" w:rsidRDefault="00AE235D" w:rsidP="00AE235D">
            <w:pPr>
              <w:rPr>
                <w:szCs w:val="20"/>
              </w:rPr>
            </w:pPr>
            <w:r w:rsidRPr="00AE235D">
              <w:rPr>
                <w:rFonts w:hint="eastAsia"/>
                <w:b/>
                <w:bCs/>
                <w:szCs w:val="20"/>
              </w:rPr>
              <w:t> </w:t>
            </w:r>
          </w:p>
        </w:tc>
      </w:tr>
      <w:tr w:rsidR="00AE235D" w:rsidRPr="00AE235D" w:rsidTr="00332E51">
        <w:trPr>
          <w:trHeight w:val="593"/>
        </w:trPr>
        <w:tc>
          <w:tcPr>
            <w:tcW w:w="1403" w:type="dxa"/>
            <w:tcBorders>
              <w:top w:val="single" w:sz="8" w:space="0" w:color="FFFFFF"/>
              <w:left w:val="single" w:sz="8" w:space="0" w:color="FFFFFF"/>
              <w:bottom w:val="single" w:sz="8" w:space="0" w:color="FFFFFF"/>
              <w:right w:val="single" w:sz="8" w:space="0" w:color="FFFFFF"/>
            </w:tcBorders>
            <w:shd w:val="clear" w:color="auto" w:fill="D0D8E8"/>
            <w:tcMar>
              <w:top w:w="15" w:type="dxa"/>
              <w:left w:w="108" w:type="dxa"/>
              <w:bottom w:w="0" w:type="dxa"/>
              <w:right w:w="108" w:type="dxa"/>
            </w:tcMar>
            <w:hideMark/>
          </w:tcPr>
          <w:p w:rsidR="00F311FC" w:rsidRPr="00AE235D" w:rsidRDefault="00AE235D" w:rsidP="00AE235D">
            <w:pPr>
              <w:rPr>
                <w:szCs w:val="20"/>
              </w:rPr>
            </w:pPr>
            <w:r w:rsidRPr="00AE235D">
              <w:rPr>
                <w:rFonts w:hint="eastAsia"/>
                <w:b/>
                <w:bCs/>
                <w:szCs w:val="20"/>
              </w:rPr>
              <w:t>15:15-16:00</w:t>
            </w:r>
          </w:p>
        </w:tc>
        <w:tc>
          <w:tcPr>
            <w:tcW w:w="5212" w:type="dxa"/>
            <w:tcBorders>
              <w:top w:val="single" w:sz="8" w:space="0" w:color="FFFFFF"/>
              <w:left w:val="single" w:sz="8" w:space="0" w:color="FFFFFF"/>
              <w:bottom w:val="single" w:sz="8" w:space="0" w:color="FFFFFF"/>
              <w:right w:val="single" w:sz="8" w:space="0" w:color="FFFFFF"/>
            </w:tcBorders>
            <w:shd w:val="clear" w:color="auto" w:fill="D0D8E8"/>
            <w:tcMar>
              <w:top w:w="15" w:type="dxa"/>
              <w:left w:w="108" w:type="dxa"/>
              <w:bottom w:w="0" w:type="dxa"/>
              <w:right w:w="108" w:type="dxa"/>
            </w:tcMar>
            <w:hideMark/>
          </w:tcPr>
          <w:p w:rsidR="00F311FC" w:rsidRPr="00AE235D" w:rsidRDefault="00AE235D" w:rsidP="00AE235D">
            <w:pPr>
              <w:rPr>
                <w:szCs w:val="20"/>
              </w:rPr>
            </w:pPr>
            <w:r w:rsidRPr="00AE235D">
              <w:rPr>
                <w:rFonts w:hint="eastAsia"/>
                <w:b/>
                <w:bCs/>
                <w:szCs w:val="20"/>
              </w:rPr>
              <w:t>Dose-Finding with Two Agents in Phase I Oncology Trials</w:t>
            </w:r>
          </w:p>
        </w:tc>
        <w:tc>
          <w:tcPr>
            <w:tcW w:w="2599" w:type="dxa"/>
            <w:tcBorders>
              <w:top w:val="single" w:sz="8" w:space="0" w:color="FFFFFF"/>
              <w:left w:val="single" w:sz="8" w:space="0" w:color="FFFFFF"/>
              <w:bottom w:val="single" w:sz="8" w:space="0" w:color="FFFFFF"/>
              <w:right w:val="single" w:sz="8" w:space="0" w:color="FFFFFF"/>
            </w:tcBorders>
            <w:shd w:val="clear" w:color="auto" w:fill="D0D8E8"/>
            <w:tcMar>
              <w:top w:w="15" w:type="dxa"/>
              <w:left w:w="108" w:type="dxa"/>
              <w:bottom w:w="0" w:type="dxa"/>
              <w:right w:w="108" w:type="dxa"/>
            </w:tcMar>
            <w:hideMark/>
          </w:tcPr>
          <w:p w:rsidR="00AE235D" w:rsidRPr="00AE235D" w:rsidRDefault="00AE235D" w:rsidP="00AE235D">
            <w:pPr>
              <w:rPr>
                <w:szCs w:val="20"/>
              </w:rPr>
            </w:pPr>
            <w:r w:rsidRPr="00AE235D">
              <w:rPr>
                <w:rFonts w:hint="eastAsia"/>
                <w:b/>
                <w:bCs/>
                <w:szCs w:val="20"/>
              </w:rPr>
              <w:t xml:space="preserve">Sang Joon Lee, Ph.D </w:t>
            </w:r>
          </w:p>
          <w:p w:rsidR="00F311FC" w:rsidRPr="00AE235D" w:rsidRDefault="00AE235D" w:rsidP="00AE235D">
            <w:pPr>
              <w:rPr>
                <w:szCs w:val="20"/>
              </w:rPr>
            </w:pPr>
            <w:r w:rsidRPr="00AE235D">
              <w:rPr>
                <w:rFonts w:hint="eastAsia"/>
                <w:b/>
                <w:bCs/>
                <w:szCs w:val="20"/>
              </w:rPr>
              <w:t>Celltrion</w:t>
            </w:r>
          </w:p>
        </w:tc>
      </w:tr>
      <w:tr w:rsidR="00AE235D" w:rsidRPr="00AE235D" w:rsidTr="00332E51">
        <w:trPr>
          <w:trHeight w:val="593"/>
        </w:trPr>
        <w:tc>
          <w:tcPr>
            <w:tcW w:w="1403" w:type="dxa"/>
            <w:tcBorders>
              <w:top w:val="single" w:sz="8" w:space="0" w:color="FFFFFF"/>
              <w:left w:val="single" w:sz="8" w:space="0" w:color="FFFFFF"/>
              <w:bottom w:val="single" w:sz="8" w:space="0" w:color="FFFFFF"/>
              <w:right w:val="single" w:sz="8" w:space="0" w:color="FFFFFF"/>
            </w:tcBorders>
            <w:shd w:val="clear" w:color="auto" w:fill="E9EDF4"/>
            <w:tcMar>
              <w:top w:w="15" w:type="dxa"/>
              <w:left w:w="108" w:type="dxa"/>
              <w:bottom w:w="0" w:type="dxa"/>
              <w:right w:w="108" w:type="dxa"/>
            </w:tcMar>
            <w:hideMark/>
          </w:tcPr>
          <w:p w:rsidR="00F311FC" w:rsidRPr="00AE235D" w:rsidRDefault="00AE235D" w:rsidP="00AE235D">
            <w:pPr>
              <w:rPr>
                <w:szCs w:val="20"/>
              </w:rPr>
            </w:pPr>
            <w:r w:rsidRPr="00AE235D">
              <w:rPr>
                <w:rFonts w:hint="eastAsia"/>
                <w:b/>
                <w:bCs/>
                <w:szCs w:val="20"/>
              </w:rPr>
              <w:t>16:00-16:45</w:t>
            </w:r>
          </w:p>
        </w:tc>
        <w:tc>
          <w:tcPr>
            <w:tcW w:w="5212" w:type="dxa"/>
            <w:tcBorders>
              <w:top w:val="single" w:sz="8" w:space="0" w:color="FFFFFF"/>
              <w:left w:val="single" w:sz="8" w:space="0" w:color="FFFFFF"/>
              <w:bottom w:val="single" w:sz="8" w:space="0" w:color="FFFFFF"/>
              <w:right w:val="single" w:sz="8" w:space="0" w:color="FFFFFF"/>
            </w:tcBorders>
            <w:shd w:val="clear" w:color="auto" w:fill="E9EDF4"/>
            <w:tcMar>
              <w:top w:w="15" w:type="dxa"/>
              <w:left w:w="108" w:type="dxa"/>
              <w:bottom w:w="0" w:type="dxa"/>
              <w:right w:w="108" w:type="dxa"/>
            </w:tcMar>
            <w:hideMark/>
          </w:tcPr>
          <w:p w:rsidR="00F311FC" w:rsidRPr="00AE235D" w:rsidRDefault="00AE235D" w:rsidP="00AE235D">
            <w:pPr>
              <w:rPr>
                <w:szCs w:val="20"/>
              </w:rPr>
            </w:pPr>
            <w:r w:rsidRPr="00AE235D">
              <w:rPr>
                <w:rFonts w:hint="eastAsia"/>
                <w:b/>
                <w:bCs/>
                <w:szCs w:val="20"/>
              </w:rPr>
              <w:t>비열등성 임상시험에서 통계적 이슈들</w:t>
            </w:r>
          </w:p>
        </w:tc>
        <w:tc>
          <w:tcPr>
            <w:tcW w:w="2599" w:type="dxa"/>
            <w:tcBorders>
              <w:top w:val="single" w:sz="8" w:space="0" w:color="FFFFFF"/>
              <w:left w:val="single" w:sz="8" w:space="0" w:color="FFFFFF"/>
              <w:bottom w:val="single" w:sz="8" w:space="0" w:color="FFFFFF"/>
              <w:right w:val="single" w:sz="8" w:space="0" w:color="FFFFFF"/>
            </w:tcBorders>
            <w:shd w:val="clear" w:color="auto" w:fill="E9EDF4"/>
            <w:tcMar>
              <w:top w:w="15" w:type="dxa"/>
              <w:left w:w="108" w:type="dxa"/>
              <w:bottom w:w="0" w:type="dxa"/>
              <w:right w:w="108" w:type="dxa"/>
            </w:tcMar>
            <w:hideMark/>
          </w:tcPr>
          <w:p w:rsidR="00AE235D" w:rsidRPr="00AE235D" w:rsidRDefault="00AE235D" w:rsidP="00AE235D">
            <w:pPr>
              <w:rPr>
                <w:szCs w:val="20"/>
              </w:rPr>
            </w:pPr>
            <w:r w:rsidRPr="00AE235D">
              <w:rPr>
                <w:rFonts w:hint="eastAsia"/>
                <w:b/>
                <w:bCs/>
                <w:szCs w:val="20"/>
              </w:rPr>
              <w:t>Seungho Kang, Ph.D</w:t>
            </w:r>
          </w:p>
          <w:p w:rsidR="00F311FC" w:rsidRPr="00AE235D" w:rsidRDefault="00AE235D" w:rsidP="00AE235D">
            <w:pPr>
              <w:rPr>
                <w:szCs w:val="20"/>
              </w:rPr>
            </w:pPr>
            <w:r w:rsidRPr="00AE235D">
              <w:rPr>
                <w:rFonts w:hint="eastAsia"/>
                <w:b/>
                <w:bCs/>
                <w:szCs w:val="20"/>
              </w:rPr>
              <w:t>Yonsei Univ.</w:t>
            </w:r>
          </w:p>
        </w:tc>
      </w:tr>
      <w:tr w:rsidR="00AE235D" w:rsidRPr="00AE235D" w:rsidTr="00332E51">
        <w:trPr>
          <w:trHeight w:val="578"/>
        </w:trPr>
        <w:tc>
          <w:tcPr>
            <w:tcW w:w="1403" w:type="dxa"/>
            <w:tcBorders>
              <w:top w:val="single" w:sz="8" w:space="0" w:color="FFFFFF"/>
              <w:left w:val="single" w:sz="8" w:space="0" w:color="FFFFFF"/>
              <w:bottom w:val="single" w:sz="8" w:space="0" w:color="FFFFFF"/>
              <w:right w:val="single" w:sz="8" w:space="0" w:color="FFFFFF"/>
            </w:tcBorders>
            <w:shd w:val="clear" w:color="auto" w:fill="D0D8E8"/>
            <w:tcMar>
              <w:top w:w="15" w:type="dxa"/>
              <w:left w:w="108" w:type="dxa"/>
              <w:bottom w:w="0" w:type="dxa"/>
              <w:right w:w="108" w:type="dxa"/>
            </w:tcMar>
            <w:hideMark/>
          </w:tcPr>
          <w:p w:rsidR="00F311FC" w:rsidRPr="00AE235D" w:rsidRDefault="00AE235D" w:rsidP="00AE235D">
            <w:pPr>
              <w:rPr>
                <w:szCs w:val="20"/>
              </w:rPr>
            </w:pPr>
            <w:r w:rsidRPr="00AE235D">
              <w:rPr>
                <w:rFonts w:hint="eastAsia"/>
                <w:b/>
                <w:bCs/>
                <w:szCs w:val="20"/>
              </w:rPr>
              <w:t>16:45-17:00</w:t>
            </w:r>
          </w:p>
        </w:tc>
        <w:tc>
          <w:tcPr>
            <w:tcW w:w="5212" w:type="dxa"/>
            <w:tcBorders>
              <w:top w:val="single" w:sz="8" w:space="0" w:color="FFFFFF"/>
              <w:left w:val="single" w:sz="8" w:space="0" w:color="FFFFFF"/>
              <w:bottom w:val="single" w:sz="8" w:space="0" w:color="FFFFFF"/>
              <w:right w:val="single" w:sz="8" w:space="0" w:color="FFFFFF"/>
            </w:tcBorders>
            <w:shd w:val="clear" w:color="auto" w:fill="D0D8E8"/>
            <w:tcMar>
              <w:top w:w="15" w:type="dxa"/>
              <w:left w:w="108" w:type="dxa"/>
              <w:bottom w:w="0" w:type="dxa"/>
              <w:right w:w="108" w:type="dxa"/>
            </w:tcMar>
            <w:hideMark/>
          </w:tcPr>
          <w:p w:rsidR="00F311FC" w:rsidRPr="00AE235D" w:rsidRDefault="00AE235D" w:rsidP="00AE235D">
            <w:pPr>
              <w:rPr>
                <w:szCs w:val="20"/>
              </w:rPr>
            </w:pPr>
            <w:r w:rsidRPr="00AE235D">
              <w:rPr>
                <w:rFonts w:hint="eastAsia"/>
                <w:b/>
                <w:bCs/>
                <w:szCs w:val="20"/>
              </w:rPr>
              <w:t>Tea Time</w:t>
            </w:r>
          </w:p>
        </w:tc>
        <w:tc>
          <w:tcPr>
            <w:tcW w:w="2599" w:type="dxa"/>
            <w:tcBorders>
              <w:top w:val="single" w:sz="8" w:space="0" w:color="FFFFFF"/>
              <w:left w:val="single" w:sz="8" w:space="0" w:color="FFFFFF"/>
              <w:bottom w:val="single" w:sz="8" w:space="0" w:color="FFFFFF"/>
              <w:right w:val="single" w:sz="8" w:space="0" w:color="FFFFFF"/>
            </w:tcBorders>
            <w:shd w:val="clear" w:color="auto" w:fill="D0D8E8"/>
            <w:tcMar>
              <w:top w:w="15" w:type="dxa"/>
              <w:left w:w="108" w:type="dxa"/>
              <w:bottom w:w="0" w:type="dxa"/>
              <w:right w:w="108" w:type="dxa"/>
            </w:tcMar>
            <w:hideMark/>
          </w:tcPr>
          <w:p w:rsidR="00F311FC" w:rsidRPr="00AE235D" w:rsidRDefault="00AE235D" w:rsidP="00AE235D">
            <w:pPr>
              <w:rPr>
                <w:szCs w:val="20"/>
              </w:rPr>
            </w:pPr>
            <w:r w:rsidRPr="00AE235D">
              <w:rPr>
                <w:rFonts w:hint="eastAsia"/>
                <w:b/>
                <w:bCs/>
                <w:szCs w:val="20"/>
              </w:rPr>
              <w:t> </w:t>
            </w:r>
          </w:p>
        </w:tc>
      </w:tr>
      <w:tr w:rsidR="00AE235D" w:rsidRPr="00AE235D" w:rsidTr="00332E51">
        <w:trPr>
          <w:trHeight w:val="593"/>
        </w:trPr>
        <w:tc>
          <w:tcPr>
            <w:tcW w:w="1403" w:type="dxa"/>
            <w:tcBorders>
              <w:top w:val="single" w:sz="8" w:space="0" w:color="FFFFFF"/>
              <w:left w:val="single" w:sz="8" w:space="0" w:color="FFFFFF"/>
              <w:bottom w:val="single" w:sz="8" w:space="0" w:color="FFFFFF"/>
              <w:right w:val="single" w:sz="8" w:space="0" w:color="FFFFFF"/>
            </w:tcBorders>
            <w:shd w:val="clear" w:color="auto" w:fill="E9EDF4"/>
            <w:tcMar>
              <w:top w:w="15" w:type="dxa"/>
              <w:left w:w="108" w:type="dxa"/>
              <w:bottom w:w="0" w:type="dxa"/>
              <w:right w:w="108" w:type="dxa"/>
            </w:tcMar>
            <w:hideMark/>
          </w:tcPr>
          <w:p w:rsidR="00F311FC" w:rsidRPr="00AE235D" w:rsidRDefault="00AE235D" w:rsidP="00AE235D">
            <w:pPr>
              <w:rPr>
                <w:szCs w:val="20"/>
              </w:rPr>
            </w:pPr>
            <w:r w:rsidRPr="00AE235D">
              <w:rPr>
                <w:rFonts w:hint="eastAsia"/>
                <w:b/>
                <w:bCs/>
                <w:szCs w:val="20"/>
              </w:rPr>
              <w:t>17:00-18:00</w:t>
            </w:r>
          </w:p>
        </w:tc>
        <w:tc>
          <w:tcPr>
            <w:tcW w:w="5212" w:type="dxa"/>
            <w:tcBorders>
              <w:top w:val="single" w:sz="8" w:space="0" w:color="FFFFFF"/>
              <w:left w:val="single" w:sz="8" w:space="0" w:color="FFFFFF"/>
              <w:bottom w:val="single" w:sz="8" w:space="0" w:color="FFFFFF"/>
              <w:right w:val="single" w:sz="8" w:space="0" w:color="FFFFFF"/>
            </w:tcBorders>
            <w:shd w:val="clear" w:color="auto" w:fill="E9EDF4"/>
            <w:tcMar>
              <w:top w:w="15" w:type="dxa"/>
              <w:left w:w="108" w:type="dxa"/>
              <w:bottom w:w="0" w:type="dxa"/>
              <w:right w:w="108" w:type="dxa"/>
            </w:tcMar>
            <w:hideMark/>
          </w:tcPr>
          <w:p w:rsidR="00F311FC" w:rsidRPr="00AE235D" w:rsidRDefault="00AE235D" w:rsidP="00AE235D">
            <w:pPr>
              <w:rPr>
                <w:szCs w:val="20"/>
              </w:rPr>
            </w:pPr>
            <w:r w:rsidRPr="00AE235D">
              <w:rPr>
                <w:rFonts w:hint="eastAsia"/>
                <w:b/>
                <w:bCs/>
                <w:szCs w:val="20"/>
              </w:rPr>
              <w:t> Optimality benchmark for dose finding designs</w:t>
            </w:r>
          </w:p>
        </w:tc>
        <w:tc>
          <w:tcPr>
            <w:tcW w:w="2599" w:type="dxa"/>
            <w:tcBorders>
              <w:top w:val="single" w:sz="8" w:space="0" w:color="FFFFFF"/>
              <w:left w:val="single" w:sz="8" w:space="0" w:color="FFFFFF"/>
              <w:bottom w:val="single" w:sz="8" w:space="0" w:color="FFFFFF"/>
              <w:right w:val="single" w:sz="8" w:space="0" w:color="FFFFFF"/>
            </w:tcBorders>
            <w:shd w:val="clear" w:color="auto" w:fill="E9EDF4"/>
            <w:tcMar>
              <w:top w:w="15" w:type="dxa"/>
              <w:left w:w="108" w:type="dxa"/>
              <w:bottom w:w="0" w:type="dxa"/>
              <w:right w:w="108" w:type="dxa"/>
            </w:tcMar>
            <w:hideMark/>
          </w:tcPr>
          <w:p w:rsidR="00AE235D" w:rsidRPr="00AE235D" w:rsidRDefault="00AE235D" w:rsidP="00AE235D">
            <w:pPr>
              <w:rPr>
                <w:szCs w:val="20"/>
              </w:rPr>
            </w:pPr>
            <w:r w:rsidRPr="00AE235D">
              <w:rPr>
                <w:rFonts w:hint="eastAsia"/>
                <w:b/>
                <w:bCs/>
                <w:szCs w:val="20"/>
              </w:rPr>
              <w:t>Ken Cheung, Ph.D</w:t>
            </w:r>
          </w:p>
          <w:p w:rsidR="00F311FC" w:rsidRPr="00AE235D" w:rsidRDefault="00AE235D" w:rsidP="00AE235D">
            <w:pPr>
              <w:rPr>
                <w:szCs w:val="20"/>
              </w:rPr>
            </w:pPr>
            <w:r w:rsidRPr="00AE235D">
              <w:rPr>
                <w:rFonts w:hint="eastAsia"/>
                <w:b/>
                <w:bCs/>
                <w:szCs w:val="20"/>
              </w:rPr>
              <w:t>Columbia Univ.</w:t>
            </w:r>
          </w:p>
        </w:tc>
      </w:tr>
      <w:tr w:rsidR="00AE235D" w:rsidRPr="00AE235D" w:rsidTr="00332E51">
        <w:trPr>
          <w:trHeight w:val="578"/>
        </w:trPr>
        <w:tc>
          <w:tcPr>
            <w:tcW w:w="1403" w:type="dxa"/>
            <w:tcBorders>
              <w:top w:val="single" w:sz="8" w:space="0" w:color="FFFFFF"/>
              <w:left w:val="single" w:sz="8" w:space="0" w:color="FFFFFF"/>
              <w:bottom w:val="single" w:sz="8" w:space="0" w:color="FFFFFF"/>
              <w:right w:val="single" w:sz="8" w:space="0" w:color="FFFFFF"/>
            </w:tcBorders>
            <w:shd w:val="clear" w:color="auto" w:fill="D0D8E8"/>
            <w:tcMar>
              <w:top w:w="15" w:type="dxa"/>
              <w:left w:w="108" w:type="dxa"/>
              <w:bottom w:w="0" w:type="dxa"/>
              <w:right w:w="108" w:type="dxa"/>
            </w:tcMar>
            <w:hideMark/>
          </w:tcPr>
          <w:p w:rsidR="00F311FC" w:rsidRPr="00AE235D" w:rsidRDefault="00AE235D" w:rsidP="00AE235D">
            <w:pPr>
              <w:rPr>
                <w:szCs w:val="20"/>
              </w:rPr>
            </w:pPr>
            <w:r w:rsidRPr="00AE235D">
              <w:rPr>
                <w:rFonts w:hint="eastAsia"/>
                <w:b/>
                <w:bCs/>
                <w:szCs w:val="20"/>
              </w:rPr>
              <w:t>18:00-18:15</w:t>
            </w:r>
          </w:p>
        </w:tc>
        <w:tc>
          <w:tcPr>
            <w:tcW w:w="5212" w:type="dxa"/>
            <w:tcBorders>
              <w:top w:val="single" w:sz="8" w:space="0" w:color="FFFFFF"/>
              <w:left w:val="single" w:sz="8" w:space="0" w:color="FFFFFF"/>
              <w:bottom w:val="single" w:sz="8" w:space="0" w:color="FFFFFF"/>
              <w:right w:val="single" w:sz="8" w:space="0" w:color="FFFFFF"/>
            </w:tcBorders>
            <w:shd w:val="clear" w:color="auto" w:fill="D0D8E8"/>
            <w:tcMar>
              <w:top w:w="15" w:type="dxa"/>
              <w:left w:w="108" w:type="dxa"/>
              <w:bottom w:w="0" w:type="dxa"/>
              <w:right w:w="108" w:type="dxa"/>
            </w:tcMar>
            <w:hideMark/>
          </w:tcPr>
          <w:p w:rsidR="00F311FC" w:rsidRPr="00AE235D" w:rsidRDefault="00AE235D" w:rsidP="00AE235D">
            <w:pPr>
              <w:rPr>
                <w:szCs w:val="20"/>
              </w:rPr>
            </w:pPr>
            <w:r w:rsidRPr="00AE235D">
              <w:rPr>
                <w:rFonts w:hint="eastAsia"/>
                <w:b/>
                <w:bCs/>
                <w:szCs w:val="20"/>
              </w:rPr>
              <w:t>총회</w:t>
            </w:r>
          </w:p>
        </w:tc>
        <w:tc>
          <w:tcPr>
            <w:tcW w:w="2599" w:type="dxa"/>
            <w:tcBorders>
              <w:top w:val="single" w:sz="8" w:space="0" w:color="FFFFFF"/>
              <w:left w:val="single" w:sz="8" w:space="0" w:color="FFFFFF"/>
              <w:bottom w:val="single" w:sz="8" w:space="0" w:color="FFFFFF"/>
              <w:right w:val="single" w:sz="8" w:space="0" w:color="FFFFFF"/>
            </w:tcBorders>
            <w:shd w:val="clear" w:color="auto" w:fill="D0D8E8"/>
            <w:tcMar>
              <w:top w:w="15" w:type="dxa"/>
              <w:left w:w="108" w:type="dxa"/>
              <w:bottom w:w="0" w:type="dxa"/>
              <w:right w:w="108" w:type="dxa"/>
            </w:tcMar>
            <w:hideMark/>
          </w:tcPr>
          <w:p w:rsidR="00F311FC" w:rsidRPr="00AE235D" w:rsidRDefault="00AE235D" w:rsidP="00AE235D">
            <w:pPr>
              <w:rPr>
                <w:szCs w:val="20"/>
              </w:rPr>
            </w:pPr>
            <w:r w:rsidRPr="00AE235D">
              <w:rPr>
                <w:rFonts w:hint="eastAsia"/>
                <w:b/>
                <w:bCs/>
                <w:szCs w:val="20"/>
              </w:rPr>
              <w:t> </w:t>
            </w:r>
          </w:p>
        </w:tc>
      </w:tr>
      <w:tr w:rsidR="00AE235D" w:rsidRPr="00AE235D" w:rsidTr="00332E51">
        <w:trPr>
          <w:trHeight w:val="578"/>
        </w:trPr>
        <w:tc>
          <w:tcPr>
            <w:tcW w:w="1403" w:type="dxa"/>
            <w:tcBorders>
              <w:top w:val="single" w:sz="8" w:space="0" w:color="FFFFFF"/>
              <w:left w:val="single" w:sz="8" w:space="0" w:color="FFFFFF"/>
              <w:bottom w:val="single" w:sz="8" w:space="0" w:color="FFFFFF"/>
              <w:right w:val="single" w:sz="8" w:space="0" w:color="FFFFFF"/>
            </w:tcBorders>
            <w:shd w:val="clear" w:color="auto" w:fill="E9EDF4"/>
            <w:tcMar>
              <w:top w:w="15" w:type="dxa"/>
              <w:left w:w="108" w:type="dxa"/>
              <w:bottom w:w="0" w:type="dxa"/>
              <w:right w:w="108" w:type="dxa"/>
            </w:tcMar>
            <w:hideMark/>
          </w:tcPr>
          <w:p w:rsidR="00F311FC" w:rsidRPr="00AE235D" w:rsidRDefault="00AE235D" w:rsidP="00AE235D">
            <w:pPr>
              <w:rPr>
                <w:szCs w:val="20"/>
              </w:rPr>
            </w:pPr>
            <w:r w:rsidRPr="00AE235D">
              <w:rPr>
                <w:rFonts w:hint="eastAsia"/>
                <w:b/>
                <w:bCs/>
                <w:szCs w:val="20"/>
              </w:rPr>
              <w:t>18:30-20:30</w:t>
            </w:r>
          </w:p>
        </w:tc>
        <w:tc>
          <w:tcPr>
            <w:tcW w:w="5212" w:type="dxa"/>
            <w:tcBorders>
              <w:top w:val="single" w:sz="8" w:space="0" w:color="FFFFFF"/>
              <w:left w:val="single" w:sz="8" w:space="0" w:color="FFFFFF"/>
              <w:bottom w:val="single" w:sz="8" w:space="0" w:color="FFFFFF"/>
              <w:right w:val="single" w:sz="8" w:space="0" w:color="FFFFFF"/>
            </w:tcBorders>
            <w:shd w:val="clear" w:color="auto" w:fill="E9EDF4"/>
            <w:tcMar>
              <w:top w:w="15" w:type="dxa"/>
              <w:left w:w="108" w:type="dxa"/>
              <w:bottom w:w="0" w:type="dxa"/>
              <w:right w:w="108" w:type="dxa"/>
            </w:tcMar>
            <w:hideMark/>
          </w:tcPr>
          <w:p w:rsidR="00F311FC" w:rsidRPr="00AE235D" w:rsidRDefault="00AE235D" w:rsidP="00AE235D">
            <w:pPr>
              <w:rPr>
                <w:szCs w:val="20"/>
              </w:rPr>
            </w:pPr>
            <w:r w:rsidRPr="00AE235D">
              <w:rPr>
                <w:rFonts w:hint="eastAsia"/>
                <w:b/>
                <w:bCs/>
                <w:szCs w:val="20"/>
              </w:rPr>
              <w:t>저녁식사</w:t>
            </w:r>
          </w:p>
        </w:tc>
        <w:tc>
          <w:tcPr>
            <w:tcW w:w="2599" w:type="dxa"/>
            <w:tcBorders>
              <w:top w:val="single" w:sz="8" w:space="0" w:color="FFFFFF"/>
              <w:left w:val="single" w:sz="8" w:space="0" w:color="FFFFFF"/>
              <w:bottom w:val="single" w:sz="8" w:space="0" w:color="FFFFFF"/>
              <w:right w:val="single" w:sz="8" w:space="0" w:color="FFFFFF"/>
            </w:tcBorders>
            <w:shd w:val="clear" w:color="auto" w:fill="E9EDF4"/>
            <w:tcMar>
              <w:top w:w="15" w:type="dxa"/>
              <w:left w:w="108" w:type="dxa"/>
              <w:bottom w:w="0" w:type="dxa"/>
              <w:right w:w="108" w:type="dxa"/>
            </w:tcMar>
            <w:hideMark/>
          </w:tcPr>
          <w:p w:rsidR="00F311FC" w:rsidRPr="00AE235D" w:rsidRDefault="00AE235D" w:rsidP="00AE235D">
            <w:pPr>
              <w:rPr>
                <w:szCs w:val="20"/>
              </w:rPr>
            </w:pPr>
            <w:r w:rsidRPr="00AE235D">
              <w:rPr>
                <w:rFonts w:hint="eastAsia"/>
                <w:b/>
                <w:bCs/>
                <w:szCs w:val="20"/>
              </w:rPr>
              <w:t> </w:t>
            </w:r>
          </w:p>
        </w:tc>
      </w:tr>
    </w:tbl>
    <w:p w:rsidR="00332E51" w:rsidRDefault="00332E51" w:rsidP="00D862A7">
      <w:pPr>
        <w:rPr>
          <w:rFonts w:ascii="함초롬바탕" w:eastAsia="함초롬바탕" w:hAnsi="함초롬바탕" w:cs="함초롬바탕"/>
          <w:b/>
          <w:sz w:val="32"/>
          <w:szCs w:val="32"/>
        </w:rPr>
        <w:sectPr w:rsidR="00332E51">
          <w:pgSz w:w="11906" w:h="16838"/>
          <w:pgMar w:top="1701" w:right="1440" w:bottom="1440" w:left="1440" w:header="851" w:footer="992" w:gutter="0"/>
          <w:cols w:space="425"/>
          <w:docGrid w:linePitch="360"/>
        </w:sectPr>
      </w:pPr>
    </w:p>
    <w:p w:rsidR="00332E51" w:rsidRPr="00877CF1" w:rsidRDefault="00332E51" w:rsidP="00332E51">
      <w:pPr>
        <w:jc w:val="center"/>
        <w:rPr>
          <w:rFonts w:ascii="함초롬바탕" w:eastAsia="함초롬바탕" w:hAnsi="함초롬바탕" w:cs="함초롬바탕"/>
          <w:b/>
          <w:sz w:val="28"/>
          <w:szCs w:val="28"/>
        </w:rPr>
      </w:pPr>
      <w:r w:rsidRPr="00877CF1">
        <w:rPr>
          <w:rFonts w:ascii="함초롬바탕" w:eastAsia="함초롬바탕" w:hAnsi="함초롬바탕" w:cs="함초롬바탕" w:hint="eastAsia"/>
          <w:b/>
          <w:sz w:val="28"/>
          <w:szCs w:val="28"/>
        </w:rPr>
        <w:lastRenderedPageBreak/>
        <w:t>찾아오시는 길</w:t>
      </w:r>
    </w:p>
    <w:p w:rsidR="00332E51" w:rsidRDefault="00332E51" w:rsidP="00332E51">
      <w:r>
        <w:rPr>
          <w:noProof/>
        </w:rPr>
        <w:drawing>
          <wp:inline distT="0" distB="0" distL="0" distR="0" wp14:anchorId="539101B7" wp14:editId="7CFBAFFB">
            <wp:extent cx="5731510" cy="3230146"/>
            <wp:effectExtent l="0" t="0" r="2540" b="8890"/>
            <wp:docPr id="2" name="그림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731510" cy="3230146"/>
                    </a:xfrm>
                    <a:prstGeom prst="rect">
                      <a:avLst/>
                    </a:prstGeom>
                    <a:noFill/>
                    <a:ln>
                      <a:noFill/>
                    </a:ln>
                  </pic:spPr>
                </pic:pic>
              </a:graphicData>
            </a:graphic>
          </wp:inline>
        </w:drawing>
      </w:r>
    </w:p>
    <w:p w:rsidR="00332E51" w:rsidRDefault="00332E51" w:rsidP="00332E51">
      <w:r>
        <w:rPr>
          <w:rFonts w:hint="eastAsia"/>
        </w:rPr>
        <w:t>(117호 입구 근처가 현재 공사 중으로 공사장 옆길을 이용)</w:t>
      </w:r>
    </w:p>
    <w:p w:rsidR="00332E51" w:rsidRPr="00AE235D" w:rsidRDefault="00332E51" w:rsidP="00332E51"/>
    <w:p w:rsidR="00332E51" w:rsidRPr="00332E51" w:rsidRDefault="00332E51" w:rsidP="00332E51">
      <w:pPr>
        <w:pStyle w:val="a8"/>
        <w:spacing w:line="360" w:lineRule="auto"/>
        <w:sectPr w:rsidR="00332E51" w:rsidRPr="00332E51">
          <w:pgSz w:w="11906" w:h="16838"/>
          <w:pgMar w:top="1701" w:right="1440" w:bottom="1440" w:left="1440" w:header="851" w:footer="992" w:gutter="0"/>
          <w:cols w:space="425"/>
          <w:docGrid w:linePitch="360"/>
        </w:sectPr>
      </w:pPr>
      <w:r>
        <w:rPr>
          <w:rFonts w:ascii="맑은 고딕" w:eastAsia="맑은 고딕" w:hAnsi="맑은 고딕" w:hint="eastAsia"/>
          <w:b/>
          <w:bCs/>
          <w:color w:val="000000"/>
        </w:rPr>
        <w:t>※ 행사당일 주차권은 지급하지 않음을 양해해 주시기 바랍니다.</w:t>
      </w:r>
    </w:p>
    <w:p w:rsidR="00AE235D" w:rsidRPr="00877CF1" w:rsidRDefault="00AE235D" w:rsidP="000458E0">
      <w:pPr>
        <w:jc w:val="center"/>
        <w:rPr>
          <w:rFonts w:ascii="함초롬바탕" w:eastAsia="함초롬바탕" w:hAnsi="함초롬바탕" w:cs="함초롬바탕"/>
          <w:b/>
          <w:sz w:val="32"/>
          <w:szCs w:val="32"/>
        </w:rPr>
      </w:pPr>
      <w:r w:rsidRPr="00877CF1">
        <w:rPr>
          <w:rFonts w:ascii="함초롬바탕" w:eastAsia="함초롬바탕" w:hAnsi="함초롬바탕" w:cs="함초롬바탕" w:hint="eastAsia"/>
          <w:b/>
          <w:sz w:val="32"/>
          <w:szCs w:val="32"/>
        </w:rPr>
        <w:lastRenderedPageBreak/>
        <w:t>초록</w:t>
      </w:r>
    </w:p>
    <w:p w:rsidR="000458E0" w:rsidRPr="000458E0" w:rsidRDefault="00AE235D" w:rsidP="000458E0">
      <w:pPr>
        <w:jc w:val="center"/>
        <w:rPr>
          <w:rFonts w:ascii="함초롬바탕" w:eastAsia="함초롬바탕" w:hAnsi="함초롬바탕" w:cs="함초롬바탕"/>
          <w:b/>
          <w:sz w:val="22"/>
          <w:shd w:val="clear" w:color="auto" w:fill="FFFFFF"/>
        </w:rPr>
      </w:pPr>
      <w:r w:rsidRPr="000458E0">
        <w:rPr>
          <w:rFonts w:ascii="함초롬바탕" w:eastAsia="함초롬바탕" w:hAnsi="함초롬바탕" w:cs="함초롬바탕" w:hint="eastAsia"/>
          <w:b/>
          <w:sz w:val="22"/>
        </w:rPr>
        <w:t xml:space="preserve">1. </w:t>
      </w:r>
      <w:r w:rsidRPr="000458E0">
        <w:rPr>
          <w:rFonts w:ascii="함초롬바탕" w:eastAsia="함초롬바탕" w:hAnsi="함초롬바탕" w:cs="함초롬바탕" w:hint="eastAsia"/>
          <w:b/>
          <w:sz w:val="22"/>
          <w:shd w:val="clear" w:color="auto" w:fill="FFFFFF"/>
        </w:rPr>
        <w:t>정밀의학(precision medicine)을 위한 체외진단다지표검사 (In Vitro Diagnostic Multivariate Index Assays: IVDMIA) 의료기기 평가</w:t>
      </w:r>
    </w:p>
    <w:p w:rsidR="00AE235D" w:rsidRPr="000458E0" w:rsidRDefault="00AE235D" w:rsidP="000458E0">
      <w:pPr>
        <w:jc w:val="center"/>
        <w:rPr>
          <w:rFonts w:ascii="함초롬바탕" w:eastAsia="함초롬바탕" w:hAnsi="함초롬바탕" w:cs="함초롬바탕"/>
          <w:b/>
          <w:sz w:val="22"/>
        </w:rPr>
      </w:pPr>
      <w:r w:rsidRPr="000458E0">
        <w:rPr>
          <w:rFonts w:ascii="함초롬바탕" w:eastAsia="함초롬바탕" w:hAnsi="함초롬바탕" w:cs="함초롬바탕" w:hint="eastAsia"/>
          <w:b/>
          <w:sz w:val="22"/>
        </w:rPr>
        <w:t>남병호 (국립암센터)</w:t>
      </w:r>
    </w:p>
    <w:p w:rsidR="000458E0" w:rsidRPr="000458E0" w:rsidRDefault="000458E0" w:rsidP="000458E0">
      <w:pPr>
        <w:jc w:val="center"/>
        <w:rPr>
          <w:rFonts w:ascii="함초롬바탕" w:eastAsia="함초롬바탕" w:hAnsi="함초롬바탕" w:cs="함초롬바탕"/>
          <w:sz w:val="22"/>
        </w:rPr>
      </w:pPr>
    </w:p>
    <w:p w:rsidR="00AE235D" w:rsidRPr="000458E0" w:rsidRDefault="00AE235D" w:rsidP="00AE235D">
      <w:pPr>
        <w:rPr>
          <w:rFonts w:ascii="함초롬바탕" w:eastAsia="함초롬바탕" w:hAnsi="함초롬바탕" w:cs="함초롬바탕"/>
          <w:szCs w:val="20"/>
        </w:rPr>
      </w:pPr>
      <w:r w:rsidRPr="000458E0">
        <w:rPr>
          <w:rFonts w:ascii="함초롬바탕" w:eastAsia="함초롬바탕" w:hAnsi="함초롬바탕" w:cs="함초롬바탕" w:hint="eastAsia"/>
          <w:szCs w:val="20"/>
        </w:rPr>
        <w:t xml:space="preserve">미국 FDA의 IVDMIA Guidance에서 IVDMIA 정의는 아래와 같이 기술되어 있다.  “ IVDMIA is a device that </w:t>
      </w:r>
      <w:r w:rsidR="000458E0" w:rsidRPr="000458E0">
        <w:rPr>
          <w:rFonts w:ascii="함초롬바탕" w:eastAsia="함초롬바탕" w:hAnsi="함초롬바탕" w:cs="함초롬바탕" w:hint="eastAsia"/>
          <w:szCs w:val="20"/>
        </w:rPr>
        <w:t xml:space="preserve">1) </w:t>
      </w:r>
      <w:r w:rsidRPr="000458E0">
        <w:rPr>
          <w:rFonts w:ascii="함초롬바탕" w:eastAsia="함초롬바탕" w:hAnsi="함초롬바탕" w:cs="함초롬바탕" w:hint="eastAsia"/>
          <w:szCs w:val="20"/>
        </w:rPr>
        <w:t>Combines the values of multiple variables using an interpretation function to yield a single, patient-specific result (e.g., a “classification,” “score,” “index,” etc.), that is intended for use in the diagnosis of disease or other conditions, or in the cure, mitigation, treatment or prevention of disease.   2) Provides a result whose derivation is non-transparent and cannot be independently derived or verified by the end user”</w:t>
      </w:r>
    </w:p>
    <w:p w:rsidR="00AE235D" w:rsidRPr="000458E0" w:rsidRDefault="00AE235D" w:rsidP="00AE235D">
      <w:pPr>
        <w:rPr>
          <w:rFonts w:ascii="함초롬바탕" w:eastAsia="함초롬바탕" w:hAnsi="함초롬바탕" w:cs="함초롬바탕"/>
          <w:szCs w:val="20"/>
        </w:rPr>
      </w:pPr>
      <w:r w:rsidRPr="000458E0">
        <w:rPr>
          <w:rFonts w:ascii="함초롬바탕" w:eastAsia="함초롬바탕" w:hAnsi="함초롬바탕" w:cs="함초롬바탕" w:hint="eastAsia"/>
          <w:szCs w:val="20"/>
        </w:rPr>
        <w:t>IVDMIA를 위한 알고리즘의 개발에 대한 평가를 할 때 다음과 같은 사항을 고려되어야 한다. 어떤 목적 (Intended Use)으로 IVDMIA가 개발되는 것인지, 또 이 알고리즘이 줄 수 있는 임상적 의미는 무엇인지 가 명확해야 한다. 즉 일반적으로 예후를 예측하는(prognostic) 목적인 경우 어떠한 예후를 예측하기 위한 알고리즘인지, 혹은</w:t>
      </w:r>
      <w:r w:rsidR="000458E0" w:rsidRPr="000458E0">
        <w:rPr>
          <w:rFonts w:ascii="함초롬바탕" w:eastAsia="함초롬바탕" w:hAnsi="함초롬바탕" w:cs="함초롬바탕" w:hint="eastAsia"/>
          <w:szCs w:val="20"/>
        </w:rPr>
        <w:t xml:space="preserve"> </w:t>
      </w:r>
      <w:r w:rsidRPr="000458E0">
        <w:rPr>
          <w:rFonts w:ascii="함초롬바탕" w:eastAsia="함초롬바탕" w:hAnsi="함초롬바탕" w:cs="함초롬바탕" w:hint="eastAsia"/>
          <w:szCs w:val="20"/>
        </w:rPr>
        <w:t xml:space="preserve">어떠한 환자들이 특정한 치료에 잘 반응하는가 (predictive)를 구분하기 위한 경우, 구분한 이 후 어떠한 조치를 취할 것인지에 대한 부분도 명확해야 한다. 또한 이 알고리즘이 단독으로 활용될 것인가? 아니면 다른 어떤 도구(Tool)과 병행하여 활용될 것인가에 대한 부분도 검토되어야 한다. 알고리즘개발의 첫 번째 단계인 유전자 선별단계 에는 예후를 구별할 수 있을 만큼의 충분한 follow-up 정보가 포함된 자료인가, 예를 들어10년 후의 Distant Recurrence를 예측하기 위한 경우, 적어도 10년 이상의 follow-up 자료를 사용해야 한다. 또한 Gene Analysis의 경우 어떠한 방법을 통해 grouping을 했는가, 즉Principal Component Analysis(PCA), Factor Analysis 등의 방법들을 통해 grouping이 되었는가 확인하여야 한다. 일반적으로 많은 수의 유전자 변수 각각에 대해서 분석이 이루어지지 않는다. 수 많은 변수들의 서로의 관계를 근거로 비슷한 성질을 갖는 변수들로 그룹을 형성하여 그 그룹에 대한 분석을 하게 되는데 이 때 사용하는 기법이 PCA 또는 factor analysis이다. 따라서 유전자 분석의 경우 이러한 분석방법들이 적절하게 사용되었는지를 확인하는 것이 필요하다. 또한 각각의 유전자 변수들과 예후와의 관계는 어떻게 분석이 되었으며 그들과의 상관 관계는 어떠한 지에 분석이 이루어 졌는가 확인하여야 한다. 필요한 절차에 의해 사용 되어질 유전자/임상 변수들이 선택이 되었다면 그 다음, 각 변수들과 알고리즘을 통해 보고자 하는 outcome 변수와의 관계를 어떠한 통계모델을 사용하여 분석 하였으며 그 결과는 어떤가가 제시 되어야 한다. 또한 각 변수들이 분석에서 측정된 그대로 사용 되었는지, 아니면 다른 형태로 변환 (예: log-transformation), 혹은 범주형 변수로 전환되어서 분석에 </w:t>
      </w:r>
      <w:r w:rsidRPr="000458E0">
        <w:rPr>
          <w:rFonts w:ascii="함초롬바탕" w:eastAsia="함초롬바탕" w:hAnsi="함초롬바탕" w:cs="함초롬바탕" w:hint="eastAsia"/>
          <w:szCs w:val="20"/>
        </w:rPr>
        <w:lastRenderedPageBreak/>
        <w:t>사용되었는지 분명하게 제시 되어야 하며, 이러한 경우 그에 대한 명확한 근거가 같이 제시 되어야 한다.</w:t>
      </w:r>
    </w:p>
    <w:p w:rsidR="00AE235D" w:rsidRPr="000458E0" w:rsidRDefault="00AE235D" w:rsidP="000458E0">
      <w:pPr>
        <w:rPr>
          <w:rFonts w:ascii="함초롬바탕" w:eastAsia="함초롬바탕" w:hAnsi="함초롬바탕" w:cs="함초롬바탕"/>
          <w:szCs w:val="20"/>
        </w:rPr>
      </w:pPr>
      <w:r w:rsidRPr="000458E0">
        <w:rPr>
          <w:rFonts w:ascii="함초롬바탕" w:eastAsia="함초롬바탕" w:hAnsi="함초롬바탕" w:cs="함초롬바탕" w:hint="eastAsia"/>
          <w:szCs w:val="20"/>
        </w:rPr>
        <w:t>알고리즘 개발을 위한 자료를 평가할 때는 모델의 개발 전에 사용할 자료 군의 정의가 잘 이루어 졌는가, 어떠한 방법으로 자료가 구성되었는가, 단일기관에서 모은 것인가, 아니면 다기관 인가, 다기관의 경우, 환자군 들의 characteristics가 비슷한가, Development Set과 Validation Set이 설정되어 있는가, 각각의 set는 어떻게 구성되어 있는가 등이 확인 되어야 한다.</w:t>
      </w:r>
      <w:r w:rsidR="000458E0" w:rsidRPr="000458E0">
        <w:rPr>
          <w:rFonts w:ascii="함초롬바탕" w:eastAsia="함초롬바탕" w:hAnsi="함초롬바탕" w:cs="함초롬바탕" w:hint="eastAsia"/>
          <w:szCs w:val="20"/>
        </w:rPr>
        <w:t xml:space="preserve"> </w:t>
      </w:r>
      <w:r w:rsidRPr="000458E0">
        <w:rPr>
          <w:rFonts w:ascii="함초롬바탕" w:eastAsia="함초롬바탕" w:hAnsi="함초롬바탕" w:cs="함초롬바탕" w:hint="eastAsia"/>
          <w:szCs w:val="20"/>
        </w:rPr>
        <w:t>다지표 모델(Multivariate Model) 개발에 있어서는 먼저, 단별량 분석(Univariate Analysis)에서 사용될 유전자 변수 및 임상적 변수들의 특성 분석이 되었는가, 즉 연속형 변수인 경우 그대로 사용할 것인가, Transformation이 필요한가, 범주형 변수로 변환이 필요한가, 그렇다면 어떠한 근거로 어떻게 변환 할 것인가, 어떠한 통계모델을 사용할 것인가(Survival Model:  Cox Proportional Hazard Model, Other Parametric   survival Models, Logistic regression Model).</w:t>
      </w:r>
      <w:r w:rsidR="000458E0" w:rsidRPr="000458E0">
        <w:rPr>
          <w:rFonts w:ascii="함초롬바탕" w:eastAsia="함초롬바탕" w:hAnsi="함초롬바탕" w:cs="함초롬바탕" w:hint="eastAsia"/>
          <w:szCs w:val="20"/>
        </w:rPr>
        <w:t xml:space="preserve"> </w:t>
      </w:r>
      <w:r w:rsidRPr="000458E0">
        <w:rPr>
          <w:rFonts w:ascii="함초롬바탕" w:eastAsia="함초롬바탕" w:hAnsi="함초롬바탕" w:cs="함초롬바탕" w:hint="eastAsia"/>
          <w:szCs w:val="20"/>
        </w:rPr>
        <w:t>다지표모델(Multivariate Model) 개발의 경우, Univariate analysis에서 선별된 변수들을 어떻게 다지표 모델에 포함시킬 것인지에 대한 Selection Process의 명확한 설명과 그 근거를 제시해야 하다. 또한 어떠한 output을 만들어 낼 것인가, 예후를 예측하는 확률(probability)을 산출 할 것인가, 혹은 nomogram형태를 이용한 score system을 만들 것인가 정해져야 한다. 또Cut-off point를 이용하여 grouping(예: low/intermediate/high risk group) 하는 경우cut-off value의 선택기준과 그 타당성이 제시되었는가 확인하여야 한다.</w:t>
      </w:r>
    </w:p>
    <w:p w:rsidR="00AE235D" w:rsidRPr="000458E0" w:rsidRDefault="00AE235D" w:rsidP="00AE235D">
      <w:pPr>
        <w:rPr>
          <w:rFonts w:ascii="함초롬바탕" w:eastAsia="함초롬바탕" w:hAnsi="함초롬바탕" w:cs="함초롬바탕"/>
          <w:sz w:val="22"/>
        </w:rPr>
      </w:pPr>
    </w:p>
    <w:p w:rsidR="00AE235D" w:rsidRPr="000458E0" w:rsidRDefault="00AE235D" w:rsidP="000458E0">
      <w:pPr>
        <w:jc w:val="center"/>
        <w:rPr>
          <w:rFonts w:ascii="함초롬바탕" w:eastAsia="함초롬바탕" w:hAnsi="함초롬바탕" w:cs="함초롬바탕"/>
          <w:b/>
          <w:sz w:val="22"/>
        </w:rPr>
      </w:pPr>
      <w:r w:rsidRPr="000458E0">
        <w:rPr>
          <w:rFonts w:ascii="함초롬바탕" w:eastAsia="함초롬바탕" w:hAnsi="함초롬바탕" w:cs="함초롬바탕" w:hint="eastAsia"/>
          <w:b/>
          <w:sz w:val="22"/>
        </w:rPr>
        <w:t>2. 바이오의약품.생약제제의 허가심사시 통계학적 고려사항</w:t>
      </w:r>
    </w:p>
    <w:p w:rsidR="00AE235D" w:rsidRPr="000458E0" w:rsidRDefault="00AE235D" w:rsidP="000458E0">
      <w:pPr>
        <w:jc w:val="center"/>
        <w:rPr>
          <w:rFonts w:ascii="함초롬바탕" w:eastAsia="함초롬바탕" w:hAnsi="함초롬바탕" w:cs="함초롬바탕"/>
          <w:b/>
          <w:sz w:val="22"/>
        </w:rPr>
      </w:pPr>
      <w:r w:rsidRPr="000458E0">
        <w:rPr>
          <w:rFonts w:ascii="함초롬바탕" w:eastAsia="함초롬바탕" w:hAnsi="함초롬바탕" w:cs="함초롬바탕" w:hint="eastAsia"/>
          <w:b/>
          <w:sz w:val="22"/>
        </w:rPr>
        <w:t xml:space="preserve">남주선, </w:t>
      </w:r>
      <w:r w:rsidR="000458E0" w:rsidRPr="000458E0">
        <w:rPr>
          <w:rFonts w:ascii="함초롬바탕" w:eastAsia="함초롬바탕" w:hAnsi="함초롬바탕" w:cs="함초롬바탕" w:hint="eastAsia"/>
          <w:b/>
          <w:sz w:val="22"/>
        </w:rPr>
        <w:t>식품의약품안전처</w:t>
      </w:r>
    </w:p>
    <w:p w:rsidR="000458E0" w:rsidRPr="000458E0" w:rsidRDefault="000458E0" w:rsidP="000458E0">
      <w:pPr>
        <w:jc w:val="center"/>
        <w:rPr>
          <w:rFonts w:ascii="함초롬바탕" w:eastAsia="함초롬바탕" w:hAnsi="함초롬바탕" w:cs="함초롬바탕"/>
          <w:sz w:val="22"/>
        </w:rPr>
      </w:pPr>
    </w:p>
    <w:p w:rsidR="000458E0" w:rsidRPr="000458E0" w:rsidRDefault="000458E0" w:rsidP="000458E0">
      <w:pPr>
        <w:pStyle w:val="a6"/>
        <w:spacing w:before="0" w:beforeAutospacing="0" w:after="0" w:afterAutospacing="0"/>
        <w:rPr>
          <w:rFonts w:ascii="함초롬바탕" w:eastAsia="함초롬바탕" w:hAnsi="함초롬바탕" w:cs="함초롬바탕"/>
          <w:sz w:val="20"/>
          <w:szCs w:val="20"/>
        </w:rPr>
      </w:pPr>
      <w:r w:rsidRPr="000458E0">
        <w:rPr>
          <w:rFonts w:ascii="함초롬바탕" w:eastAsia="함초롬바탕" w:hAnsi="함초롬바탕" w:cs="함초롬바탕" w:hint="eastAsia"/>
          <w:sz w:val="20"/>
          <w:szCs w:val="20"/>
        </w:rPr>
        <w:t>바이오의약품 및 생약제제의 허가심사시 임상통계 검토 대상 및 절차를 소개하고 임상시험계획 및 품목허가심사시 제출자료 및 제출시 유의사항을 논의한다</w:t>
      </w:r>
    </w:p>
    <w:p w:rsidR="00AE235D" w:rsidRDefault="00AE235D" w:rsidP="00AE235D"/>
    <w:p w:rsidR="00AE235D" w:rsidRPr="000458E0" w:rsidRDefault="00AE235D" w:rsidP="000458E0">
      <w:pPr>
        <w:jc w:val="center"/>
        <w:rPr>
          <w:rStyle w:val="maintitle"/>
          <w:rFonts w:ascii="함초롬바탕" w:eastAsia="함초롬바탕" w:hAnsi="함초롬바탕" w:cs="함초롬바탕"/>
          <w:b/>
          <w:sz w:val="22"/>
          <w:lang w:val="en"/>
        </w:rPr>
      </w:pPr>
      <w:r w:rsidRPr="000458E0">
        <w:rPr>
          <w:rFonts w:ascii="함초롬바탕" w:eastAsia="함초롬바탕" w:hAnsi="함초롬바탕" w:cs="함초롬바탕" w:hint="eastAsia"/>
          <w:b/>
          <w:sz w:val="22"/>
        </w:rPr>
        <w:t xml:space="preserve">3. </w:t>
      </w:r>
      <w:r w:rsidRPr="000458E0">
        <w:rPr>
          <w:rStyle w:val="maintitle"/>
          <w:rFonts w:ascii="함초롬바탕" w:eastAsia="함초롬바탕" w:hAnsi="함초롬바탕" w:cs="함초롬바탕" w:hint="eastAsia"/>
          <w:b/>
          <w:sz w:val="22"/>
          <w:lang w:val="en"/>
        </w:rPr>
        <w:t>Dose-Finding with Two Agents in Phase I Oncology Trials</w:t>
      </w:r>
    </w:p>
    <w:p w:rsidR="00AE235D" w:rsidRPr="000458E0" w:rsidRDefault="00AE235D" w:rsidP="000458E0">
      <w:pPr>
        <w:jc w:val="center"/>
        <w:rPr>
          <w:rStyle w:val="maintitle"/>
          <w:rFonts w:ascii="함초롬바탕" w:eastAsia="함초롬바탕" w:hAnsi="함초롬바탕" w:cs="함초롬바탕"/>
          <w:b/>
          <w:sz w:val="22"/>
          <w:lang w:val="en"/>
        </w:rPr>
      </w:pPr>
      <w:r w:rsidRPr="000458E0">
        <w:rPr>
          <w:rStyle w:val="maintitle"/>
          <w:rFonts w:ascii="함초롬바탕" w:eastAsia="함초롬바탕" w:hAnsi="함초롬바탕" w:cs="함초롬바탕" w:hint="eastAsia"/>
          <w:b/>
          <w:sz w:val="22"/>
          <w:lang w:val="en"/>
        </w:rPr>
        <w:t>이상준, 셀트리온</w:t>
      </w:r>
    </w:p>
    <w:p w:rsidR="000458E0" w:rsidRPr="000458E0" w:rsidRDefault="000458E0" w:rsidP="000458E0">
      <w:pPr>
        <w:jc w:val="center"/>
        <w:rPr>
          <w:rStyle w:val="maintitle"/>
          <w:rFonts w:ascii="함초롬바탕" w:eastAsia="함초롬바탕" w:hAnsi="함초롬바탕" w:cs="함초롬바탕"/>
          <w:sz w:val="22"/>
          <w:lang w:val="en"/>
        </w:rPr>
      </w:pPr>
    </w:p>
    <w:p w:rsidR="00AE235D" w:rsidRPr="000458E0" w:rsidRDefault="00AE235D" w:rsidP="00AE235D">
      <w:pPr>
        <w:rPr>
          <w:rFonts w:ascii="함초롬바탕" w:eastAsia="함초롬바탕" w:hAnsi="함초롬바탕" w:cs="함초롬바탕"/>
          <w:szCs w:val="20"/>
        </w:rPr>
      </w:pPr>
      <w:r w:rsidRPr="000458E0">
        <w:rPr>
          <w:rFonts w:ascii="함초롬바탕" w:eastAsia="함초롬바탕" w:hAnsi="함초롬바탕" w:cs="함초롬바탕" w:hint="eastAsia"/>
          <w:szCs w:val="20"/>
          <w:lang w:val="en"/>
        </w:rPr>
        <w:t xml:space="preserve">For two-agent phase I trials, the goal is to find a combination of drug doses to establish a recommended phase II dose for agents. We propose an adaptive two-stage Bayesian design </w:t>
      </w:r>
      <w:r w:rsidRPr="000458E0">
        <w:rPr>
          <w:rFonts w:ascii="함초롬바탕" w:eastAsia="함초롬바탕" w:hAnsi="함초롬바탕" w:cs="함초롬바탕" w:hint="eastAsia"/>
          <w:szCs w:val="20"/>
          <w:lang w:val="en"/>
        </w:rPr>
        <w:lastRenderedPageBreak/>
        <w:t>for finding one or more acceptable dose combinations of two cytotoxic agents used together in a Phase I clinical trial. The method requires that each of the two agents has been studied previously as a single agent, which is almost invariably the case in practice. A parametric model is assumed for the probability of toxicity as a function of the two doses. Informative priors for parameters characterizing the single-agent toxicity probability curves are either elicited from the physician(s) planning the trial or obtained from historical data, and vague priors are assumed for parameters characterizing two-agent interactions. A method for eliciting the single-agent parameter priors is described. The design is applied to a trial of gemcitabine and cyclophosphamide, and a simulation study is presented.</w:t>
      </w:r>
    </w:p>
    <w:p w:rsidR="00AE235D" w:rsidRPr="00AE235D" w:rsidRDefault="00AE235D" w:rsidP="00AE235D">
      <w:pPr>
        <w:rPr>
          <w:rStyle w:val="maintitle"/>
        </w:rPr>
      </w:pPr>
    </w:p>
    <w:p w:rsidR="000458E0" w:rsidRPr="000458E0" w:rsidRDefault="00AE235D" w:rsidP="000458E0">
      <w:pPr>
        <w:jc w:val="center"/>
        <w:rPr>
          <w:rFonts w:ascii="함초롬바탕" w:eastAsia="함초롬바탕" w:hAnsi="함초롬바탕" w:cs="함초롬바탕"/>
          <w:b/>
          <w:sz w:val="22"/>
        </w:rPr>
      </w:pPr>
      <w:r w:rsidRPr="000458E0">
        <w:rPr>
          <w:rFonts w:ascii="함초롬바탕" w:eastAsia="함초롬바탕" w:hAnsi="함초롬바탕" w:cs="함초롬바탕" w:hint="eastAsia"/>
          <w:b/>
          <w:sz w:val="22"/>
        </w:rPr>
        <w:t xml:space="preserve">4. </w:t>
      </w:r>
      <w:r w:rsidR="000458E0" w:rsidRPr="000458E0">
        <w:rPr>
          <w:rFonts w:ascii="함초롬바탕" w:eastAsia="함초롬바탕" w:hAnsi="함초롬바탕" w:cs="함초롬바탕" w:hint="eastAsia"/>
          <w:b/>
          <w:color w:val="000000"/>
          <w:sz w:val="22"/>
        </w:rPr>
        <w:t>비열등성 임상시험에서 통계적 이슈들</w:t>
      </w:r>
    </w:p>
    <w:p w:rsidR="000458E0" w:rsidRDefault="000458E0" w:rsidP="000458E0">
      <w:pPr>
        <w:jc w:val="center"/>
        <w:rPr>
          <w:rFonts w:ascii="함초롬바탕" w:eastAsia="함초롬바탕" w:hAnsi="함초롬바탕" w:cs="함초롬바탕"/>
          <w:b/>
          <w:sz w:val="22"/>
        </w:rPr>
      </w:pPr>
      <w:r w:rsidRPr="000458E0">
        <w:rPr>
          <w:rFonts w:ascii="함초롬바탕" w:eastAsia="함초롬바탕" w:hAnsi="함초롬바탕" w:cs="함초롬바탕" w:hint="eastAsia"/>
          <w:b/>
          <w:sz w:val="22"/>
        </w:rPr>
        <w:t>강승호, 연세대학교</w:t>
      </w:r>
    </w:p>
    <w:p w:rsidR="000458E0" w:rsidRPr="000458E0" w:rsidRDefault="000458E0" w:rsidP="000458E0">
      <w:pPr>
        <w:jc w:val="center"/>
        <w:rPr>
          <w:rFonts w:ascii="함초롬바탕" w:eastAsia="함초롬바탕" w:hAnsi="함초롬바탕" w:cs="함초롬바탕"/>
          <w:b/>
          <w:sz w:val="22"/>
        </w:rPr>
      </w:pPr>
    </w:p>
    <w:p w:rsidR="000458E0" w:rsidRDefault="000458E0" w:rsidP="000458E0">
      <w:pPr>
        <w:pStyle w:val="0"/>
        <w:widowControl w:val="0"/>
        <w:rPr>
          <w:color w:val="000000"/>
          <w:sz w:val="20"/>
          <w:szCs w:val="20"/>
        </w:rPr>
      </w:pPr>
      <w:r>
        <w:rPr>
          <w:rFonts w:eastAsia="함초롬바탕" w:hint="eastAsia"/>
          <w:color w:val="000000"/>
          <w:sz w:val="20"/>
          <w:szCs w:val="20"/>
        </w:rPr>
        <w:t>윤리적인</w:t>
      </w:r>
      <w:r>
        <w:rPr>
          <w:rFonts w:eastAsia="함초롬바탕" w:hint="eastAsia"/>
          <w:color w:val="000000"/>
          <w:sz w:val="20"/>
          <w:szCs w:val="20"/>
        </w:rPr>
        <w:t xml:space="preserve"> </w:t>
      </w:r>
      <w:r>
        <w:rPr>
          <w:rFonts w:eastAsia="함초롬바탕" w:hint="eastAsia"/>
          <w:color w:val="000000"/>
          <w:sz w:val="20"/>
          <w:szCs w:val="20"/>
        </w:rPr>
        <w:t>이유로</w:t>
      </w:r>
      <w:r>
        <w:rPr>
          <w:rFonts w:eastAsia="함초롬바탕" w:hint="eastAsia"/>
          <w:color w:val="000000"/>
          <w:sz w:val="20"/>
          <w:szCs w:val="20"/>
        </w:rPr>
        <w:t xml:space="preserve"> </w:t>
      </w:r>
      <w:r>
        <w:rPr>
          <w:rFonts w:eastAsia="함초롬바탕" w:hint="eastAsia"/>
          <w:color w:val="000000"/>
          <w:sz w:val="20"/>
          <w:szCs w:val="20"/>
        </w:rPr>
        <w:t>위약대조군을</w:t>
      </w:r>
      <w:r>
        <w:rPr>
          <w:rFonts w:eastAsia="함초롬바탕" w:hint="eastAsia"/>
          <w:color w:val="000000"/>
          <w:sz w:val="20"/>
          <w:szCs w:val="20"/>
        </w:rPr>
        <w:t xml:space="preserve"> </w:t>
      </w:r>
      <w:r>
        <w:rPr>
          <w:rFonts w:eastAsia="함초롬바탕" w:hint="eastAsia"/>
          <w:color w:val="000000"/>
          <w:sz w:val="20"/>
          <w:szCs w:val="20"/>
        </w:rPr>
        <w:t>사용할</w:t>
      </w:r>
      <w:r>
        <w:rPr>
          <w:rFonts w:eastAsia="함초롬바탕" w:hint="eastAsia"/>
          <w:color w:val="000000"/>
          <w:sz w:val="20"/>
          <w:szCs w:val="20"/>
        </w:rPr>
        <w:t xml:space="preserve"> </w:t>
      </w:r>
      <w:r>
        <w:rPr>
          <w:rFonts w:eastAsia="함초롬바탕" w:hint="eastAsia"/>
          <w:color w:val="000000"/>
          <w:sz w:val="20"/>
          <w:szCs w:val="20"/>
        </w:rPr>
        <w:t>수</w:t>
      </w:r>
      <w:r>
        <w:rPr>
          <w:rFonts w:eastAsia="함초롬바탕" w:hint="eastAsia"/>
          <w:color w:val="000000"/>
          <w:sz w:val="20"/>
          <w:szCs w:val="20"/>
        </w:rPr>
        <w:t xml:space="preserve"> </w:t>
      </w:r>
      <w:r>
        <w:rPr>
          <w:rFonts w:eastAsia="함초롬바탕" w:hint="eastAsia"/>
          <w:color w:val="000000"/>
          <w:sz w:val="20"/>
          <w:szCs w:val="20"/>
        </w:rPr>
        <w:t>없는</w:t>
      </w:r>
      <w:r>
        <w:rPr>
          <w:rFonts w:eastAsia="함초롬바탕" w:hint="eastAsia"/>
          <w:color w:val="000000"/>
          <w:sz w:val="20"/>
          <w:szCs w:val="20"/>
        </w:rPr>
        <w:t xml:space="preserve"> </w:t>
      </w:r>
      <w:r>
        <w:rPr>
          <w:rFonts w:eastAsia="함초롬바탕" w:hint="eastAsia"/>
          <w:color w:val="000000"/>
          <w:sz w:val="20"/>
          <w:szCs w:val="20"/>
        </w:rPr>
        <w:t>경우</w:t>
      </w:r>
      <w:r>
        <w:rPr>
          <w:rFonts w:ascii="함초롬바탕" w:eastAsia="함초롬바탕" w:hAnsi="함초롬바탕" w:cs="함초롬바탕" w:hint="eastAsia"/>
          <w:color w:val="000000"/>
          <w:sz w:val="20"/>
          <w:szCs w:val="20"/>
        </w:rPr>
        <w:t xml:space="preserve">, </w:t>
      </w:r>
      <w:r>
        <w:rPr>
          <w:rFonts w:eastAsia="함초롬바탕" w:hint="eastAsia"/>
          <w:color w:val="000000"/>
          <w:sz w:val="20"/>
          <w:szCs w:val="20"/>
        </w:rPr>
        <w:t>시험약과</w:t>
      </w:r>
      <w:r>
        <w:rPr>
          <w:rFonts w:eastAsia="함초롬바탕" w:hint="eastAsia"/>
          <w:color w:val="000000"/>
          <w:sz w:val="20"/>
          <w:szCs w:val="20"/>
        </w:rPr>
        <w:t xml:space="preserve"> </w:t>
      </w:r>
      <w:r>
        <w:rPr>
          <w:rFonts w:eastAsia="함초롬바탕" w:hint="eastAsia"/>
          <w:color w:val="000000"/>
          <w:sz w:val="20"/>
          <w:szCs w:val="20"/>
        </w:rPr>
        <w:t>활성대조약을</w:t>
      </w:r>
      <w:r>
        <w:rPr>
          <w:rFonts w:eastAsia="함초롬바탕" w:hint="eastAsia"/>
          <w:color w:val="000000"/>
          <w:sz w:val="20"/>
          <w:szCs w:val="20"/>
        </w:rPr>
        <w:t xml:space="preserve"> </w:t>
      </w:r>
      <w:r>
        <w:rPr>
          <w:rFonts w:eastAsia="함초롬바탕" w:hint="eastAsia"/>
          <w:color w:val="000000"/>
          <w:sz w:val="20"/>
          <w:szCs w:val="20"/>
        </w:rPr>
        <w:t>비교하는</w:t>
      </w:r>
      <w:r>
        <w:rPr>
          <w:rFonts w:eastAsia="함초롬바탕" w:hint="eastAsia"/>
          <w:color w:val="000000"/>
          <w:sz w:val="20"/>
          <w:szCs w:val="20"/>
        </w:rPr>
        <w:t xml:space="preserve"> </w:t>
      </w:r>
      <w:r>
        <w:rPr>
          <w:rFonts w:eastAsia="함초롬바탕" w:hint="eastAsia"/>
          <w:color w:val="000000"/>
          <w:sz w:val="20"/>
          <w:szCs w:val="20"/>
        </w:rPr>
        <w:t>비열등성</w:t>
      </w:r>
      <w:r>
        <w:rPr>
          <w:rFonts w:eastAsia="함초롬바탕" w:hint="eastAsia"/>
          <w:color w:val="000000"/>
          <w:sz w:val="20"/>
          <w:szCs w:val="20"/>
        </w:rPr>
        <w:t xml:space="preserve"> </w:t>
      </w:r>
      <w:r>
        <w:rPr>
          <w:rFonts w:eastAsia="함초롬바탕" w:hint="eastAsia"/>
          <w:color w:val="000000"/>
          <w:sz w:val="20"/>
          <w:szCs w:val="20"/>
        </w:rPr>
        <w:t>임상시험을</w:t>
      </w:r>
      <w:r>
        <w:rPr>
          <w:rFonts w:eastAsia="함초롬바탕" w:hint="eastAsia"/>
          <w:color w:val="000000"/>
          <w:sz w:val="20"/>
          <w:szCs w:val="20"/>
        </w:rPr>
        <w:t xml:space="preserve"> </w:t>
      </w:r>
      <w:r>
        <w:rPr>
          <w:rFonts w:eastAsia="함초롬바탕" w:hint="eastAsia"/>
          <w:color w:val="000000"/>
          <w:sz w:val="20"/>
          <w:szCs w:val="20"/>
        </w:rPr>
        <w:t>실시하게</w:t>
      </w:r>
      <w:r>
        <w:rPr>
          <w:rFonts w:eastAsia="함초롬바탕" w:hint="eastAsia"/>
          <w:color w:val="000000"/>
          <w:sz w:val="20"/>
          <w:szCs w:val="20"/>
        </w:rPr>
        <w:t xml:space="preserve"> </w:t>
      </w:r>
      <w:r>
        <w:rPr>
          <w:rFonts w:eastAsia="함초롬바탕" w:hint="eastAsia"/>
          <w:color w:val="000000"/>
          <w:sz w:val="20"/>
          <w:szCs w:val="20"/>
        </w:rPr>
        <w:t>된다</w:t>
      </w:r>
      <w:r>
        <w:rPr>
          <w:rFonts w:ascii="함초롬바탕" w:eastAsia="함초롬바탕" w:hAnsi="함초롬바탕" w:cs="함초롬바탕" w:hint="eastAsia"/>
          <w:color w:val="000000"/>
          <w:sz w:val="20"/>
          <w:szCs w:val="20"/>
        </w:rPr>
        <w:t xml:space="preserve">. </w:t>
      </w:r>
      <w:r>
        <w:rPr>
          <w:rFonts w:eastAsia="함초롬바탕" w:hint="eastAsia"/>
          <w:color w:val="000000"/>
          <w:sz w:val="20"/>
          <w:szCs w:val="20"/>
        </w:rPr>
        <w:t>이러한</w:t>
      </w:r>
      <w:r>
        <w:rPr>
          <w:rFonts w:eastAsia="함초롬바탕" w:hint="eastAsia"/>
          <w:color w:val="000000"/>
          <w:sz w:val="20"/>
          <w:szCs w:val="20"/>
        </w:rPr>
        <w:t xml:space="preserve"> </w:t>
      </w:r>
      <w:r>
        <w:rPr>
          <w:rFonts w:eastAsia="함초롬바탕" w:hint="eastAsia"/>
          <w:color w:val="000000"/>
          <w:sz w:val="20"/>
          <w:szCs w:val="20"/>
        </w:rPr>
        <w:t>비열등성</w:t>
      </w:r>
      <w:r>
        <w:rPr>
          <w:rFonts w:eastAsia="함초롬바탕" w:hint="eastAsia"/>
          <w:color w:val="000000"/>
          <w:sz w:val="20"/>
          <w:szCs w:val="20"/>
        </w:rPr>
        <w:t xml:space="preserve"> </w:t>
      </w:r>
      <w:r>
        <w:rPr>
          <w:rFonts w:eastAsia="함초롬바탕" w:hint="eastAsia"/>
          <w:color w:val="000000"/>
          <w:sz w:val="20"/>
          <w:szCs w:val="20"/>
        </w:rPr>
        <w:t>임상시험에는</w:t>
      </w:r>
      <w:r>
        <w:rPr>
          <w:rFonts w:eastAsia="함초롬바탕" w:hint="eastAsia"/>
          <w:color w:val="000000"/>
          <w:sz w:val="20"/>
          <w:szCs w:val="20"/>
        </w:rPr>
        <w:t xml:space="preserve"> </w:t>
      </w:r>
      <w:r>
        <w:rPr>
          <w:rFonts w:ascii="함초롬바탕" w:eastAsia="함초롬바탕" w:hAnsi="함초롬바탕" w:cs="함초롬바탕" w:hint="eastAsia"/>
          <w:color w:val="000000"/>
          <w:sz w:val="20"/>
          <w:szCs w:val="20"/>
        </w:rPr>
        <w:t xml:space="preserve">assay sensitivity, constancy assumption, </w:t>
      </w:r>
      <w:r>
        <w:rPr>
          <w:rFonts w:eastAsia="함초롬바탕" w:hint="eastAsia"/>
          <w:color w:val="000000"/>
          <w:sz w:val="20"/>
          <w:szCs w:val="20"/>
        </w:rPr>
        <w:t>비열등성</w:t>
      </w:r>
      <w:r>
        <w:rPr>
          <w:rFonts w:eastAsia="함초롬바탕" w:hint="eastAsia"/>
          <w:color w:val="000000"/>
          <w:sz w:val="20"/>
          <w:szCs w:val="20"/>
        </w:rPr>
        <w:t xml:space="preserve"> </w:t>
      </w:r>
      <w:r>
        <w:rPr>
          <w:rFonts w:eastAsia="함초롬바탕" w:hint="eastAsia"/>
          <w:color w:val="000000"/>
          <w:sz w:val="20"/>
          <w:szCs w:val="20"/>
        </w:rPr>
        <w:t>마진</w:t>
      </w:r>
      <w:r>
        <w:rPr>
          <w:rFonts w:eastAsia="함초롬바탕" w:hint="eastAsia"/>
          <w:color w:val="000000"/>
          <w:sz w:val="20"/>
          <w:szCs w:val="20"/>
        </w:rPr>
        <w:t xml:space="preserve"> </w:t>
      </w:r>
      <w:r>
        <w:rPr>
          <w:rFonts w:eastAsia="함초롬바탕" w:hint="eastAsia"/>
          <w:color w:val="000000"/>
          <w:sz w:val="20"/>
          <w:szCs w:val="20"/>
        </w:rPr>
        <w:t>결정</w:t>
      </w:r>
      <w:r>
        <w:rPr>
          <w:rFonts w:eastAsia="함초롬바탕" w:hint="eastAsia"/>
          <w:color w:val="000000"/>
          <w:sz w:val="20"/>
          <w:szCs w:val="20"/>
        </w:rPr>
        <w:t xml:space="preserve"> </w:t>
      </w:r>
      <w:r>
        <w:rPr>
          <w:rFonts w:eastAsia="함초롬바탕" w:hint="eastAsia"/>
          <w:color w:val="000000"/>
          <w:sz w:val="20"/>
          <w:szCs w:val="20"/>
        </w:rPr>
        <w:t>등과</w:t>
      </w:r>
      <w:r>
        <w:rPr>
          <w:rFonts w:eastAsia="함초롬바탕" w:hint="eastAsia"/>
          <w:color w:val="000000"/>
          <w:sz w:val="20"/>
          <w:szCs w:val="20"/>
        </w:rPr>
        <w:t xml:space="preserve"> </w:t>
      </w:r>
      <w:r>
        <w:rPr>
          <w:rFonts w:eastAsia="함초롬바탕" w:hint="eastAsia"/>
          <w:color w:val="000000"/>
          <w:sz w:val="20"/>
          <w:szCs w:val="20"/>
        </w:rPr>
        <w:t>같은</w:t>
      </w:r>
      <w:r>
        <w:rPr>
          <w:rFonts w:eastAsia="함초롬바탕" w:hint="eastAsia"/>
          <w:color w:val="000000"/>
          <w:sz w:val="20"/>
          <w:szCs w:val="20"/>
        </w:rPr>
        <w:t xml:space="preserve"> </w:t>
      </w:r>
      <w:r>
        <w:rPr>
          <w:rFonts w:eastAsia="함초롬바탕" w:hint="eastAsia"/>
          <w:color w:val="000000"/>
          <w:sz w:val="20"/>
          <w:szCs w:val="20"/>
        </w:rPr>
        <w:t>여러</w:t>
      </w:r>
      <w:r>
        <w:rPr>
          <w:rFonts w:eastAsia="함초롬바탕" w:hint="eastAsia"/>
          <w:color w:val="000000"/>
          <w:sz w:val="20"/>
          <w:szCs w:val="20"/>
        </w:rPr>
        <w:t xml:space="preserve"> </w:t>
      </w:r>
      <w:r>
        <w:rPr>
          <w:rFonts w:eastAsia="함초롬바탕" w:hint="eastAsia"/>
          <w:color w:val="000000"/>
          <w:sz w:val="20"/>
          <w:szCs w:val="20"/>
        </w:rPr>
        <w:t>가지</w:t>
      </w:r>
      <w:r>
        <w:rPr>
          <w:rFonts w:eastAsia="함초롬바탕" w:hint="eastAsia"/>
          <w:color w:val="000000"/>
          <w:sz w:val="20"/>
          <w:szCs w:val="20"/>
        </w:rPr>
        <w:t xml:space="preserve"> </w:t>
      </w:r>
      <w:r>
        <w:rPr>
          <w:rFonts w:eastAsia="함초롬바탕" w:hint="eastAsia"/>
          <w:color w:val="000000"/>
          <w:sz w:val="20"/>
          <w:szCs w:val="20"/>
        </w:rPr>
        <w:t>이슈들이</w:t>
      </w:r>
      <w:r>
        <w:rPr>
          <w:rFonts w:eastAsia="함초롬바탕" w:hint="eastAsia"/>
          <w:color w:val="000000"/>
          <w:sz w:val="20"/>
          <w:szCs w:val="20"/>
        </w:rPr>
        <w:t xml:space="preserve"> </w:t>
      </w:r>
      <w:r>
        <w:rPr>
          <w:rFonts w:eastAsia="함초롬바탕" w:hint="eastAsia"/>
          <w:color w:val="000000"/>
          <w:sz w:val="20"/>
          <w:szCs w:val="20"/>
        </w:rPr>
        <w:t>발생하게</w:t>
      </w:r>
      <w:r>
        <w:rPr>
          <w:rFonts w:eastAsia="함초롬바탕" w:hint="eastAsia"/>
          <w:color w:val="000000"/>
          <w:sz w:val="20"/>
          <w:szCs w:val="20"/>
        </w:rPr>
        <w:t xml:space="preserve"> </w:t>
      </w:r>
      <w:r>
        <w:rPr>
          <w:rFonts w:eastAsia="함초롬바탕" w:hint="eastAsia"/>
          <w:color w:val="000000"/>
          <w:sz w:val="20"/>
          <w:szCs w:val="20"/>
        </w:rPr>
        <w:t>되는데</w:t>
      </w:r>
      <w:r>
        <w:rPr>
          <w:rFonts w:ascii="함초롬바탕" w:eastAsia="함초롬바탕" w:hAnsi="함초롬바탕" w:cs="함초롬바탕" w:hint="eastAsia"/>
          <w:color w:val="000000"/>
          <w:sz w:val="20"/>
          <w:szCs w:val="20"/>
        </w:rPr>
        <w:t xml:space="preserve">, </w:t>
      </w:r>
      <w:r>
        <w:rPr>
          <w:rFonts w:eastAsia="함초롬바탕" w:hint="eastAsia"/>
          <w:color w:val="000000"/>
          <w:sz w:val="20"/>
          <w:szCs w:val="20"/>
        </w:rPr>
        <w:t>본</w:t>
      </w:r>
      <w:r>
        <w:rPr>
          <w:rFonts w:eastAsia="함초롬바탕" w:hint="eastAsia"/>
          <w:color w:val="000000"/>
          <w:sz w:val="20"/>
          <w:szCs w:val="20"/>
        </w:rPr>
        <w:t xml:space="preserve"> </w:t>
      </w:r>
      <w:r>
        <w:rPr>
          <w:rFonts w:eastAsia="함초롬바탕" w:hint="eastAsia"/>
          <w:color w:val="000000"/>
          <w:sz w:val="20"/>
          <w:szCs w:val="20"/>
        </w:rPr>
        <w:t>발표에서는</w:t>
      </w:r>
      <w:r>
        <w:rPr>
          <w:rFonts w:eastAsia="함초롬바탕" w:hint="eastAsia"/>
          <w:color w:val="000000"/>
          <w:sz w:val="20"/>
          <w:szCs w:val="20"/>
        </w:rPr>
        <w:t xml:space="preserve"> </w:t>
      </w:r>
      <w:r>
        <w:rPr>
          <w:rFonts w:eastAsia="함초롬바탕" w:hint="eastAsia"/>
          <w:color w:val="000000"/>
          <w:sz w:val="20"/>
          <w:szCs w:val="20"/>
        </w:rPr>
        <w:t>이러한</w:t>
      </w:r>
      <w:r>
        <w:rPr>
          <w:rFonts w:eastAsia="함초롬바탕" w:hint="eastAsia"/>
          <w:color w:val="000000"/>
          <w:sz w:val="20"/>
          <w:szCs w:val="20"/>
        </w:rPr>
        <w:t xml:space="preserve"> </w:t>
      </w:r>
      <w:r>
        <w:rPr>
          <w:rFonts w:eastAsia="함초롬바탕" w:hint="eastAsia"/>
          <w:color w:val="000000"/>
          <w:sz w:val="20"/>
          <w:szCs w:val="20"/>
        </w:rPr>
        <w:t>이슈들을</w:t>
      </w:r>
      <w:r>
        <w:rPr>
          <w:rFonts w:eastAsia="함초롬바탕" w:hint="eastAsia"/>
          <w:color w:val="000000"/>
          <w:sz w:val="20"/>
          <w:szCs w:val="20"/>
        </w:rPr>
        <w:t xml:space="preserve"> </w:t>
      </w:r>
      <w:r>
        <w:rPr>
          <w:rFonts w:eastAsia="함초롬바탕" w:hint="eastAsia"/>
          <w:color w:val="000000"/>
          <w:sz w:val="20"/>
          <w:szCs w:val="20"/>
        </w:rPr>
        <w:t>하나씩</w:t>
      </w:r>
      <w:r>
        <w:rPr>
          <w:rFonts w:eastAsia="함초롬바탕" w:hint="eastAsia"/>
          <w:color w:val="000000"/>
          <w:sz w:val="20"/>
          <w:szCs w:val="20"/>
        </w:rPr>
        <w:t xml:space="preserve"> </w:t>
      </w:r>
      <w:r>
        <w:rPr>
          <w:rFonts w:eastAsia="함초롬바탕" w:hint="eastAsia"/>
          <w:color w:val="000000"/>
          <w:sz w:val="20"/>
          <w:szCs w:val="20"/>
        </w:rPr>
        <w:t>살펴볼</w:t>
      </w:r>
      <w:r>
        <w:rPr>
          <w:rFonts w:eastAsia="함초롬바탕" w:hint="eastAsia"/>
          <w:color w:val="000000"/>
          <w:sz w:val="20"/>
          <w:szCs w:val="20"/>
        </w:rPr>
        <w:t xml:space="preserve"> </w:t>
      </w:r>
      <w:r>
        <w:rPr>
          <w:rFonts w:eastAsia="함초롬바탕" w:hint="eastAsia"/>
          <w:color w:val="000000"/>
          <w:sz w:val="20"/>
          <w:szCs w:val="20"/>
        </w:rPr>
        <w:t>것이다</w:t>
      </w:r>
      <w:r>
        <w:rPr>
          <w:rFonts w:ascii="함초롬바탕" w:eastAsia="함초롬바탕" w:hAnsi="함초롬바탕" w:cs="함초롬바탕" w:hint="eastAsia"/>
          <w:color w:val="000000"/>
          <w:sz w:val="20"/>
          <w:szCs w:val="20"/>
        </w:rPr>
        <w:t xml:space="preserve">. </w:t>
      </w:r>
    </w:p>
    <w:p w:rsidR="000458E0" w:rsidRPr="000458E0" w:rsidRDefault="000458E0" w:rsidP="00AE235D"/>
    <w:p w:rsidR="00AE235D" w:rsidRPr="000458E0" w:rsidRDefault="00AE235D" w:rsidP="000458E0">
      <w:pPr>
        <w:jc w:val="center"/>
        <w:rPr>
          <w:rFonts w:ascii="함초롬바탕" w:eastAsia="함초롬바탕" w:hAnsi="함초롬바탕" w:cs="함초롬바탕"/>
          <w:b/>
          <w:color w:val="222222"/>
          <w:sz w:val="22"/>
        </w:rPr>
      </w:pPr>
      <w:r w:rsidRPr="000458E0">
        <w:rPr>
          <w:rFonts w:ascii="함초롬바탕" w:eastAsia="함초롬바탕" w:hAnsi="함초롬바탕" w:cs="함초롬바탕" w:hint="eastAsia"/>
          <w:b/>
          <w:sz w:val="22"/>
        </w:rPr>
        <w:t xml:space="preserve">5. </w:t>
      </w:r>
      <w:r w:rsidRPr="000458E0">
        <w:rPr>
          <w:rFonts w:ascii="함초롬바탕" w:eastAsia="함초롬바탕" w:hAnsi="함초롬바탕" w:cs="함초롬바탕"/>
          <w:b/>
          <w:color w:val="222222"/>
          <w:sz w:val="22"/>
        </w:rPr>
        <w:t>Optimality benchmark for dose finding designs</w:t>
      </w:r>
    </w:p>
    <w:p w:rsidR="00AE235D" w:rsidRPr="000458E0" w:rsidRDefault="00AE235D" w:rsidP="000458E0">
      <w:pPr>
        <w:jc w:val="center"/>
        <w:rPr>
          <w:rFonts w:ascii="함초롬바탕" w:eastAsia="함초롬바탕" w:hAnsi="함초롬바탕" w:cs="함초롬바탕"/>
          <w:b/>
          <w:color w:val="222222"/>
          <w:sz w:val="22"/>
        </w:rPr>
      </w:pPr>
      <w:r w:rsidRPr="000458E0">
        <w:rPr>
          <w:rFonts w:ascii="함초롬바탕" w:eastAsia="함초롬바탕" w:hAnsi="함초롬바탕" w:cs="함초롬바탕" w:hint="eastAsia"/>
          <w:b/>
          <w:color w:val="222222"/>
          <w:sz w:val="22"/>
        </w:rPr>
        <w:t>Ken Cheung, Ph.D. Columbia University</w:t>
      </w:r>
    </w:p>
    <w:p w:rsidR="00AE235D" w:rsidRDefault="00AE235D" w:rsidP="00AE235D"/>
    <w:p w:rsidR="000458E0" w:rsidRPr="000458E0" w:rsidRDefault="000458E0" w:rsidP="00AE235D">
      <w:pPr>
        <w:rPr>
          <w:rFonts w:ascii="함초롬바탕" w:eastAsia="함초롬바탕" w:hAnsi="함초롬바탕" w:cs="함초롬바탕"/>
          <w:szCs w:val="20"/>
        </w:rPr>
      </w:pPr>
      <w:r w:rsidRPr="000458E0">
        <w:rPr>
          <w:rFonts w:ascii="함초롬바탕" w:eastAsia="함초롬바탕" w:hAnsi="함초롬바탕" w:cs="함초롬바탕" w:hint="eastAsia"/>
          <w:szCs w:val="20"/>
        </w:rPr>
        <w:t xml:space="preserve">While a general goal of early phase clinical studies is to identify an acceptable dose for further investigation, modern dose finding studies and designs are highly specific to individual clinical settings. </w:t>
      </w:r>
      <w:r w:rsidRPr="000458E0">
        <w:rPr>
          <w:rFonts w:ascii="함초롬바탕" w:eastAsia="함초롬바탕" w:hAnsi="함초롬바탕" w:cs="함초롬바탕"/>
          <w:color w:val="222222"/>
          <w:szCs w:val="20"/>
        </w:rPr>
        <w:t xml:space="preserve">In addition, as outcome-adaptive methods often involve complex algorithms, it is crucial to have diagnostic tools at the planning stage to evaluate the plausibility of a method's simulated performance and the adequacy of the algorithm. In this talk, I will introduce a simple technique that provides an upper limit, or a benchmark, of accuracy for dose finding methods for a given design objective. The proposed benchmark is nonparametric optimal, and is demonstrated by examples to be a practical accuracy </w:t>
      </w:r>
      <w:r w:rsidRPr="000458E0">
        <w:rPr>
          <w:rFonts w:ascii="함초롬바탕" w:eastAsia="함초롬바탕" w:hAnsi="함초롬바탕" w:cs="함초롬바탕"/>
          <w:color w:val="222222"/>
          <w:szCs w:val="20"/>
        </w:rPr>
        <w:lastRenderedPageBreak/>
        <w:t>upper bound for parametric model-based dose finding methods. We illustrate the implementation of the technique in the context of phase I trials that consider multiple toxicities and phase I/II trials where dosing decisions are based on both toxicity and efficacy, and apply the benchmark to several clinical examples considered in the literature. By comparing the operating characteristics of a dose finding method to that of the benchmark, we can form quick initial assessments of whether the method is adequately calibrated and evaluate its sensitivity to the dose-outcome relationships</w:t>
      </w:r>
      <w:r w:rsidRPr="000458E0">
        <w:rPr>
          <w:rFonts w:ascii="함초롬바탕" w:eastAsia="함초롬바탕" w:hAnsi="함초롬바탕" w:cs="함초롬바탕" w:hint="eastAsia"/>
          <w:color w:val="222222"/>
          <w:szCs w:val="20"/>
        </w:rPr>
        <w:t>.</w:t>
      </w:r>
    </w:p>
    <w:sectPr w:rsidR="000458E0" w:rsidRPr="000458E0">
      <w:pgSz w:w="11906" w:h="16838"/>
      <w:pgMar w:top="1701" w:right="1440" w:bottom="1440" w:left="1440" w:header="851" w:footer="992" w:gutter="0"/>
      <w:cols w:space="425"/>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맑은 고딕">
    <w:panose1 w:val="020B0503020000020004"/>
    <w:charset w:val="81"/>
    <w:family w:val="modern"/>
    <w:pitch w:val="variable"/>
    <w:sig w:usb0="900002AF" w:usb1="09D77CFB" w:usb2="00000012" w:usb3="00000000" w:csb0="00080001" w:csb1="00000000"/>
  </w:font>
  <w:font w:name="Times New Roman">
    <w:panose1 w:val="02020603050405020304"/>
    <w:charset w:val="00"/>
    <w:family w:val="roman"/>
    <w:pitch w:val="variable"/>
    <w:sig w:usb0="E0002AFF" w:usb1="C0007841" w:usb2="00000009" w:usb3="00000000" w:csb0="000001FF" w:csb1="00000000"/>
  </w:font>
  <w:font w:name="굴림">
    <w:altName w:val="Gulim"/>
    <w:panose1 w:val="020B0600000101010101"/>
    <w:charset w:val="81"/>
    <w:family w:val="modern"/>
    <w:pitch w:val="variable"/>
    <w:sig w:usb0="B00002AF" w:usb1="69D77CFB" w:usb2="00000030" w:usb3="00000000" w:csb0="0008009F" w:csb1="00000000"/>
  </w:font>
  <w:font w:name="돋움">
    <w:altName w:val="Dotum"/>
    <w:panose1 w:val="020B0600000101010101"/>
    <w:charset w:val="81"/>
    <w:family w:val="modern"/>
    <w:pitch w:val="variable"/>
    <w:sig w:usb0="B00002AF" w:usb1="69D77CFB" w:usb2="00000030" w:usb3="00000000" w:csb0="0008009F" w:csb1="00000000"/>
  </w:font>
  <w:font w:name="함초롬바탕">
    <w:altName w:val="안상수2006중간"/>
    <w:panose1 w:val="02030504000101010101"/>
    <w:charset w:val="81"/>
    <w:family w:val="roman"/>
    <w:pitch w:val="variable"/>
    <w:sig w:usb0="F7FFAEFF" w:usb1="FBDFFFFF" w:usb2="041FFFFF" w:usb3="00000000" w:csb0="001F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800"/>
  <w:displayHorizontalDrawingGridEvery w:val="0"/>
  <w:displayVerticalDrawingGridEvery w:val="2"/>
  <w:noPunctuationKerning/>
  <w:characterSpacingControl w:val="doNotCompres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D09B8"/>
    <w:rsid w:val="000458E0"/>
    <w:rsid w:val="002D09B8"/>
    <w:rsid w:val="00332E51"/>
    <w:rsid w:val="006C6B0B"/>
    <w:rsid w:val="007C52B1"/>
    <w:rsid w:val="00877CF1"/>
    <w:rsid w:val="00AE235D"/>
    <w:rsid w:val="00C72FB5"/>
    <w:rsid w:val="00CC4DC7"/>
    <w:rsid w:val="00D862A7"/>
    <w:rsid w:val="00F311FC"/>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Cs w:val="22"/>
        <w:lang w:val="en-US" w:eastAsia="ko-KR" w:bidi="ar-SA"/>
      </w:rPr>
    </w:rPrDefault>
    <w:pPrDefault>
      <w:pPr>
        <w:spacing w:after="20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wordWrap w:val="0"/>
      <w:autoSpaceDE w:val="0"/>
      <w:autoSpaceDN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CC4DC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4">
    <w:name w:val="바탕글"/>
    <w:basedOn w:val="a"/>
    <w:rsid w:val="00AE235D"/>
    <w:pPr>
      <w:spacing w:after="0" w:line="384" w:lineRule="auto"/>
    </w:pPr>
    <w:rPr>
      <w:rFonts w:ascii="굴림" w:eastAsia="굴림" w:hAnsi="굴림" w:cs="굴림"/>
      <w:color w:val="000000"/>
      <w:kern w:val="0"/>
      <w:szCs w:val="20"/>
    </w:rPr>
  </w:style>
  <w:style w:type="paragraph" w:styleId="a5">
    <w:name w:val="List Paragraph"/>
    <w:basedOn w:val="a"/>
    <w:uiPriority w:val="34"/>
    <w:qFormat/>
    <w:rsid w:val="00AE235D"/>
    <w:pPr>
      <w:ind w:leftChars="400" w:left="800"/>
    </w:pPr>
  </w:style>
  <w:style w:type="character" w:customStyle="1" w:styleId="maintitle">
    <w:name w:val="maintitle"/>
    <w:basedOn w:val="a0"/>
    <w:rsid w:val="00AE235D"/>
  </w:style>
  <w:style w:type="paragraph" w:customStyle="1" w:styleId="0">
    <w:name w:val="0"/>
    <w:basedOn w:val="a"/>
    <w:rsid w:val="000458E0"/>
    <w:pPr>
      <w:widowControl/>
      <w:wordWrap/>
      <w:autoSpaceDE/>
      <w:autoSpaceDN/>
      <w:spacing w:before="100" w:beforeAutospacing="1" w:after="100" w:afterAutospacing="1" w:line="240" w:lineRule="auto"/>
      <w:jc w:val="left"/>
    </w:pPr>
    <w:rPr>
      <w:rFonts w:ascii="굴림" w:eastAsia="굴림" w:hAnsi="굴림" w:cs="굴림"/>
      <w:kern w:val="0"/>
      <w:sz w:val="24"/>
      <w:szCs w:val="24"/>
    </w:rPr>
  </w:style>
  <w:style w:type="paragraph" w:styleId="a6">
    <w:name w:val="Normal (Web)"/>
    <w:basedOn w:val="a"/>
    <w:uiPriority w:val="99"/>
    <w:semiHidden/>
    <w:unhideWhenUsed/>
    <w:rsid w:val="000458E0"/>
    <w:pPr>
      <w:widowControl/>
      <w:wordWrap/>
      <w:autoSpaceDE/>
      <w:autoSpaceDN/>
      <w:spacing w:before="100" w:beforeAutospacing="1" w:after="100" w:afterAutospacing="1" w:line="240" w:lineRule="auto"/>
      <w:jc w:val="left"/>
    </w:pPr>
    <w:rPr>
      <w:rFonts w:ascii="굴림" w:eastAsia="굴림" w:hAnsi="굴림" w:cs="굴림"/>
      <w:kern w:val="0"/>
      <w:sz w:val="24"/>
      <w:szCs w:val="24"/>
    </w:rPr>
  </w:style>
  <w:style w:type="paragraph" w:styleId="a7">
    <w:name w:val="Balloon Text"/>
    <w:basedOn w:val="a"/>
    <w:link w:val="Char"/>
    <w:uiPriority w:val="99"/>
    <w:semiHidden/>
    <w:unhideWhenUsed/>
    <w:rsid w:val="00877CF1"/>
    <w:pPr>
      <w:spacing w:after="0" w:line="240" w:lineRule="auto"/>
    </w:pPr>
    <w:rPr>
      <w:rFonts w:asciiTheme="majorHAnsi" w:eastAsiaTheme="majorEastAsia" w:hAnsiTheme="majorHAnsi" w:cstheme="majorBidi"/>
      <w:sz w:val="18"/>
      <w:szCs w:val="18"/>
    </w:rPr>
  </w:style>
  <w:style w:type="character" w:customStyle="1" w:styleId="Char">
    <w:name w:val="풍선 도움말 텍스트 Char"/>
    <w:basedOn w:val="a0"/>
    <w:link w:val="a7"/>
    <w:uiPriority w:val="99"/>
    <w:semiHidden/>
    <w:rsid w:val="00877CF1"/>
    <w:rPr>
      <w:rFonts w:asciiTheme="majorHAnsi" w:eastAsiaTheme="majorEastAsia" w:hAnsiTheme="majorHAnsi" w:cstheme="majorBidi"/>
      <w:sz w:val="18"/>
      <w:szCs w:val="18"/>
    </w:rPr>
  </w:style>
  <w:style w:type="paragraph" w:customStyle="1" w:styleId="a8">
    <w:name w:val="a"/>
    <w:basedOn w:val="a"/>
    <w:uiPriority w:val="99"/>
    <w:rsid w:val="00332E51"/>
    <w:pPr>
      <w:widowControl/>
      <w:wordWrap/>
      <w:autoSpaceDE/>
      <w:autoSpaceDN/>
      <w:spacing w:after="0" w:line="240" w:lineRule="auto"/>
      <w:jc w:val="left"/>
    </w:pPr>
    <w:rPr>
      <w:rFonts w:ascii="돋움" w:eastAsia="돋움" w:hAnsi="돋움" w:cs="굴림"/>
      <w:kern w:val="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Cs w:val="22"/>
        <w:lang w:val="en-US" w:eastAsia="ko-KR" w:bidi="ar-SA"/>
      </w:rPr>
    </w:rPrDefault>
    <w:pPrDefault>
      <w:pPr>
        <w:spacing w:after="20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wordWrap w:val="0"/>
      <w:autoSpaceDE w:val="0"/>
      <w:autoSpaceDN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CC4DC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4">
    <w:name w:val="바탕글"/>
    <w:basedOn w:val="a"/>
    <w:rsid w:val="00AE235D"/>
    <w:pPr>
      <w:spacing w:after="0" w:line="384" w:lineRule="auto"/>
    </w:pPr>
    <w:rPr>
      <w:rFonts w:ascii="굴림" w:eastAsia="굴림" w:hAnsi="굴림" w:cs="굴림"/>
      <w:color w:val="000000"/>
      <w:kern w:val="0"/>
      <w:szCs w:val="20"/>
    </w:rPr>
  </w:style>
  <w:style w:type="paragraph" w:styleId="a5">
    <w:name w:val="List Paragraph"/>
    <w:basedOn w:val="a"/>
    <w:uiPriority w:val="34"/>
    <w:qFormat/>
    <w:rsid w:val="00AE235D"/>
    <w:pPr>
      <w:ind w:leftChars="400" w:left="800"/>
    </w:pPr>
  </w:style>
  <w:style w:type="character" w:customStyle="1" w:styleId="maintitle">
    <w:name w:val="maintitle"/>
    <w:basedOn w:val="a0"/>
    <w:rsid w:val="00AE235D"/>
  </w:style>
  <w:style w:type="paragraph" w:customStyle="1" w:styleId="0">
    <w:name w:val="0"/>
    <w:basedOn w:val="a"/>
    <w:rsid w:val="000458E0"/>
    <w:pPr>
      <w:widowControl/>
      <w:wordWrap/>
      <w:autoSpaceDE/>
      <w:autoSpaceDN/>
      <w:spacing w:before="100" w:beforeAutospacing="1" w:after="100" w:afterAutospacing="1" w:line="240" w:lineRule="auto"/>
      <w:jc w:val="left"/>
    </w:pPr>
    <w:rPr>
      <w:rFonts w:ascii="굴림" w:eastAsia="굴림" w:hAnsi="굴림" w:cs="굴림"/>
      <w:kern w:val="0"/>
      <w:sz w:val="24"/>
      <w:szCs w:val="24"/>
    </w:rPr>
  </w:style>
  <w:style w:type="paragraph" w:styleId="a6">
    <w:name w:val="Normal (Web)"/>
    <w:basedOn w:val="a"/>
    <w:uiPriority w:val="99"/>
    <w:semiHidden/>
    <w:unhideWhenUsed/>
    <w:rsid w:val="000458E0"/>
    <w:pPr>
      <w:widowControl/>
      <w:wordWrap/>
      <w:autoSpaceDE/>
      <w:autoSpaceDN/>
      <w:spacing w:before="100" w:beforeAutospacing="1" w:after="100" w:afterAutospacing="1" w:line="240" w:lineRule="auto"/>
      <w:jc w:val="left"/>
    </w:pPr>
    <w:rPr>
      <w:rFonts w:ascii="굴림" w:eastAsia="굴림" w:hAnsi="굴림" w:cs="굴림"/>
      <w:kern w:val="0"/>
      <w:sz w:val="24"/>
      <w:szCs w:val="24"/>
    </w:rPr>
  </w:style>
  <w:style w:type="paragraph" w:styleId="a7">
    <w:name w:val="Balloon Text"/>
    <w:basedOn w:val="a"/>
    <w:link w:val="Char"/>
    <w:uiPriority w:val="99"/>
    <w:semiHidden/>
    <w:unhideWhenUsed/>
    <w:rsid w:val="00877CF1"/>
    <w:pPr>
      <w:spacing w:after="0" w:line="240" w:lineRule="auto"/>
    </w:pPr>
    <w:rPr>
      <w:rFonts w:asciiTheme="majorHAnsi" w:eastAsiaTheme="majorEastAsia" w:hAnsiTheme="majorHAnsi" w:cstheme="majorBidi"/>
      <w:sz w:val="18"/>
      <w:szCs w:val="18"/>
    </w:rPr>
  </w:style>
  <w:style w:type="character" w:customStyle="1" w:styleId="Char">
    <w:name w:val="풍선 도움말 텍스트 Char"/>
    <w:basedOn w:val="a0"/>
    <w:link w:val="a7"/>
    <w:uiPriority w:val="99"/>
    <w:semiHidden/>
    <w:rsid w:val="00877CF1"/>
    <w:rPr>
      <w:rFonts w:asciiTheme="majorHAnsi" w:eastAsiaTheme="majorEastAsia" w:hAnsiTheme="majorHAnsi" w:cstheme="majorBidi"/>
      <w:sz w:val="18"/>
      <w:szCs w:val="18"/>
    </w:rPr>
  </w:style>
  <w:style w:type="paragraph" w:customStyle="1" w:styleId="a8">
    <w:name w:val="a"/>
    <w:basedOn w:val="a"/>
    <w:uiPriority w:val="99"/>
    <w:rsid w:val="00332E51"/>
    <w:pPr>
      <w:widowControl/>
      <w:wordWrap/>
      <w:autoSpaceDE/>
      <w:autoSpaceDN/>
      <w:spacing w:after="0" w:line="240" w:lineRule="auto"/>
      <w:jc w:val="left"/>
    </w:pPr>
    <w:rPr>
      <w:rFonts w:ascii="돋움" w:eastAsia="돋움" w:hAnsi="돋움" w:cs="굴림"/>
      <w:kern w:val="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14752">
      <w:bodyDiv w:val="1"/>
      <w:marLeft w:val="0"/>
      <w:marRight w:val="0"/>
      <w:marTop w:val="0"/>
      <w:marBottom w:val="0"/>
      <w:divBdr>
        <w:top w:val="none" w:sz="0" w:space="0" w:color="auto"/>
        <w:left w:val="none" w:sz="0" w:space="0" w:color="auto"/>
        <w:bottom w:val="none" w:sz="0" w:space="0" w:color="auto"/>
        <w:right w:val="none" w:sz="0" w:space="0" w:color="auto"/>
      </w:divBdr>
    </w:div>
    <w:div w:id="486627032">
      <w:bodyDiv w:val="1"/>
      <w:marLeft w:val="0"/>
      <w:marRight w:val="0"/>
      <w:marTop w:val="0"/>
      <w:marBottom w:val="0"/>
      <w:divBdr>
        <w:top w:val="none" w:sz="0" w:space="0" w:color="auto"/>
        <w:left w:val="none" w:sz="0" w:space="0" w:color="auto"/>
        <w:bottom w:val="none" w:sz="0" w:space="0" w:color="auto"/>
        <w:right w:val="none" w:sz="0" w:space="0" w:color="auto"/>
      </w:divBdr>
    </w:div>
    <w:div w:id="700395641">
      <w:bodyDiv w:val="1"/>
      <w:marLeft w:val="0"/>
      <w:marRight w:val="0"/>
      <w:marTop w:val="0"/>
      <w:marBottom w:val="0"/>
      <w:divBdr>
        <w:top w:val="none" w:sz="0" w:space="0" w:color="auto"/>
        <w:left w:val="none" w:sz="0" w:space="0" w:color="auto"/>
        <w:bottom w:val="none" w:sz="0" w:space="0" w:color="auto"/>
        <w:right w:val="none" w:sz="0" w:space="0" w:color="auto"/>
      </w:divBdr>
    </w:div>
    <w:div w:id="1007634346">
      <w:bodyDiv w:val="1"/>
      <w:marLeft w:val="0"/>
      <w:marRight w:val="0"/>
      <w:marTop w:val="0"/>
      <w:marBottom w:val="0"/>
      <w:divBdr>
        <w:top w:val="none" w:sz="0" w:space="0" w:color="auto"/>
        <w:left w:val="none" w:sz="0" w:space="0" w:color="auto"/>
        <w:bottom w:val="none" w:sz="0" w:space="0" w:color="auto"/>
        <w:right w:val="none" w:sz="0" w:space="0" w:color="auto"/>
      </w:divBdr>
    </w:div>
    <w:div w:id="1927229807">
      <w:bodyDiv w:val="1"/>
      <w:marLeft w:val="0"/>
      <w:marRight w:val="0"/>
      <w:marTop w:val="0"/>
      <w:marBottom w:val="0"/>
      <w:divBdr>
        <w:top w:val="none" w:sz="0" w:space="0" w:color="auto"/>
        <w:left w:val="none" w:sz="0" w:space="0" w:color="auto"/>
        <w:bottom w:val="none" w:sz="0" w:space="0" w:color="auto"/>
        <w:right w:val="none" w:sz="0" w:space="0" w:color="auto"/>
      </w:divBdr>
    </w:div>
    <w:div w:id="1979144965">
      <w:bodyDiv w:val="1"/>
      <w:marLeft w:val="0"/>
      <w:marRight w:val="0"/>
      <w:marTop w:val="0"/>
      <w:marBottom w:val="0"/>
      <w:divBdr>
        <w:top w:val="none" w:sz="0" w:space="0" w:color="auto"/>
        <w:left w:val="none" w:sz="0" w:space="0" w:color="auto"/>
        <w:bottom w:val="none" w:sz="0" w:space="0" w:color="auto"/>
        <w:right w:val="none" w:sz="0" w:space="0" w:color="auto"/>
      </w:divBdr>
    </w:div>
    <w:div w:id="2026515709">
      <w:bodyDiv w:val="1"/>
      <w:marLeft w:val="0"/>
      <w:marRight w:val="0"/>
      <w:marTop w:val="0"/>
      <w:marBottom w:val="0"/>
      <w:divBdr>
        <w:top w:val="none" w:sz="0" w:space="0" w:color="auto"/>
        <w:left w:val="none" w:sz="0" w:space="0" w:color="auto"/>
        <w:bottom w:val="none" w:sz="0" w:space="0" w:color="auto"/>
        <w:right w:val="none" w:sz="0" w:space="0" w:color="auto"/>
      </w:divBdr>
    </w:div>
    <w:div w:id="20556953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1.emf"/><Relationship Id="rId4" Type="http://schemas.openxmlformats.org/officeDocument/2006/relationships/webSettings" Target="webSettings.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51</TotalTime>
  <Pages>6</Pages>
  <Words>943</Words>
  <Characters>5376</Characters>
  <Application>Microsoft Office Word</Application>
  <DocSecurity>0</DocSecurity>
  <Lines>44</Lines>
  <Paragraphs>12</Paragraphs>
  <ScaleCrop>false</ScaleCrop>
  <HeadingPairs>
    <vt:vector size="2" baseType="variant">
      <vt:variant>
        <vt:lpstr>제목</vt:lpstr>
      </vt:variant>
      <vt:variant>
        <vt:i4>1</vt:i4>
      </vt:variant>
    </vt:vector>
  </HeadingPairs>
  <TitlesOfParts>
    <vt:vector size="1" baseType="lpstr">
      <vt:lpstr/>
    </vt:vector>
  </TitlesOfParts>
  <Company>National Cancer Center</Company>
  <LinksUpToDate>false</LinksUpToDate>
  <CharactersWithSpaces>6307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user</cp:lastModifiedBy>
  <cp:revision>11</cp:revision>
  <dcterms:created xsi:type="dcterms:W3CDTF">2015-11-17T01:42:00Z</dcterms:created>
  <dcterms:modified xsi:type="dcterms:W3CDTF">2015-11-17T10:24:00Z</dcterms:modified>
</cp:coreProperties>
</file>